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b/>
          <w:sz w:val="44"/>
          <w:szCs w:val="44"/>
          <w:lang w:val="en-US" w:eastAsia="zh-CN"/>
        </w:rPr>
        <w:t>霸州</w:t>
      </w:r>
      <w:r>
        <w:rPr>
          <w:b/>
          <w:sz w:val="44"/>
          <w:szCs w:val="44"/>
        </w:rPr>
        <w:t>市</w:t>
      </w:r>
      <w:r>
        <w:rPr>
          <w:rFonts w:hint="eastAsia"/>
          <w:b/>
          <w:sz w:val="44"/>
          <w:szCs w:val="44"/>
          <w:lang w:eastAsia="zh-CN"/>
        </w:rPr>
        <w:t>城乡规划局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霸州市城乡规划局</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ind w:firstLine="600"/>
        <w:jc w:val="center"/>
        <w:rPr>
          <w:rFonts w:hint="eastAsia" w:ascii="方正小标宋简体" w:eastAsia="方正小标宋简体" w:hAnsiTheme="majorEastAsia"/>
          <w:sz w:val="44"/>
          <w:szCs w:val="44"/>
        </w:rPr>
      </w:pPr>
    </w:p>
    <w:p>
      <w:pPr>
        <w:ind w:firstLine="600"/>
        <w:jc w:val="center"/>
        <w:rPr>
          <w:rFonts w:hint="eastAsia" w:ascii="方正小标宋简体" w:eastAsia="方正小标宋简体" w:hAnsiTheme="majorEastAsia"/>
          <w:sz w:val="44"/>
          <w:szCs w:val="44"/>
        </w:rPr>
      </w:pPr>
    </w:p>
    <w:p>
      <w:pPr>
        <w:ind w:firstLine="600"/>
        <w:jc w:val="center"/>
        <w:rPr>
          <w:rFonts w:hint="eastAsia" w:ascii="方正小标宋简体" w:eastAsia="方正小标宋简体" w:hAnsiTheme="majorEastAsia"/>
          <w:sz w:val="44"/>
          <w:szCs w:val="44"/>
        </w:rPr>
      </w:pPr>
    </w:p>
    <w:p>
      <w:pPr>
        <w:ind w:firstLine="600"/>
        <w:jc w:val="center"/>
        <w:rPr>
          <w:rFonts w:hint="eastAsia" w:ascii="方正小标宋简体" w:eastAsia="方正小标宋简体" w:hAnsiTheme="majorEastAsia"/>
          <w:sz w:val="44"/>
          <w:szCs w:val="44"/>
        </w:rPr>
      </w:pPr>
    </w:p>
    <w:p>
      <w:pPr>
        <w:ind w:firstLine="600"/>
        <w:jc w:val="center"/>
        <w:rPr>
          <w:rFonts w:hint="eastAsia" w:ascii="方正小标宋简体" w:eastAsia="方正小标宋简体" w:hAnsiTheme="majorEastAsia"/>
          <w:sz w:val="44"/>
          <w:szCs w:val="44"/>
        </w:rPr>
      </w:pPr>
    </w:p>
    <w:p>
      <w:pPr>
        <w:autoSpaceDE w:val="0"/>
        <w:autoSpaceDN w:val="0"/>
        <w:snapToGrid w:val="0"/>
        <w:spacing w:line="520" w:lineRule="exact"/>
        <w:ind w:firstLine="640" w:firstLineChars="200"/>
        <w:rPr>
          <w:rFonts w:hint="eastAsia" w:ascii="仿宋" w:hAnsi="仿宋" w:eastAsia="仿宋"/>
          <w:sz w:val="32"/>
          <w:szCs w:val="32"/>
        </w:rPr>
      </w:pPr>
    </w:p>
    <w:p>
      <w:pPr>
        <w:numPr>
          <w:ilvl w:val="0"/>
          <w:numId w:val="1"/>
        </w:numPr>
        <w:autoSpaceDE w:val="0"/>
        <w:autoSpaceDN w:val="0"/>
        <w:snapToGrid w:val="0"/>
        <w:spacing w:line="520" w:lineRule="exact"/>
        <w:ind w:left="-10" w:leftChars="0" w:firstLine="640"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部门职责</w:t>
      </w:r>
    </w:p>
    <w:p>
      <w:pPr>
        <w:numPr>
          <w:ilvl w:val="0"/>
          <w:numId w:val="0"/>
        </w:numPr>
        <w:autoSpaceDE w:val="0"/>
        <w:autoSpaceDN w:val="0"/>
        <w:snapToGrid w:val="0"/>
        <w:spacing w:line="520" w:lineRule="exact"/>
        <w:ind w:left="630" w:leftChars="0"/>
        <w:rPr>
          <w:rFonts w:ascii="仿宋" w:hAnsi="仿宋" w:eastAsia="仿宋"/>
          <w:sz w:val="32"/>
          <w:szCs w:val="32"/>
        </w:rPr>
      </w:pPr>
      <w:r>
        <w:rPr>
          <w:rFonts w:hint="eastAsia" w:ascii="仿宋" w:hAnsi="仿宋" w:eastAsia="仿宋"/>
          <w:sz w:val="32"/>
          <w:szCs w:val="32"/>
        </w:rPr>
        <w:t>1、贯彻执行国家、省和市关于城乡规划的法律、法规、规章和政策，拟定全市城乡规划的规范性文件。</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2、组织编制城市总体规划、分区规划、详细规划和城市设计；组织协调有关部门编制各项专业规划；指导编制和审查各乡镇村街体系规划、总体建设规划和新农村建设规划。</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3、参与全市国土资源利用总体规划和重大建设项目的前期论证。</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4、负责所组织编制城乡规划和拟实施重要建设项目规划方案的公示、收集、整理并采纳群众的合理化建议和意见。</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5、负责城市规划区内的建设项目的规划选址，核发《建设项目选址意见书》；负责城市规划区内各类建设项目的用地规划审查、审批，核发《建设用地规划许可证》或《临时建设用地规划许可证》；负责各类建设项目的规划方案审批的受理、报批工作，核发《建设工程规划许可证》。</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6、负责城市规划区内已经规划审批项目的放线、验线、验槽、竣工后规划验收工作，核发《建设工程规划验收合格证》。</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7、负责历史文化名城、名镇、名村，历史风貌保护区、优秀历史建筑和历史文物古迹保护的规划管理工作。</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8、负责市域内集镇、村庄建设的规划管理工作；负责规划区经济技术开发区和其他各类园区的统一规划管理。</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9、负责城乡规划编制行业资质和技术服务市场的管理工作。</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10、负责组织开展城乡规划重大问题的研究工作。</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11、负责征收各类建设项目的城市基础设施配套费。</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12、负责组织开展本行业人才队伍建设，法律、法规宣称和业务知识以及继续教育工作。</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13、承办市委市政府和上级主管部门交办的其他工作。</w:t>
      </w:r>
    </w:p>
    <w:p>
      <w:pPr>
        <w:autoSpaceDE w:val="0"/>
        <w:autoSpaceDN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根据上述职责，霸州市城乡规划局设个内设7个机构，包括综合办公室，建设用地管理股，建设工程管理股，城乡规划股，市政规划股，工程监察股，法规宣教股。 </w:t>
      </w:r>
    </w:p>
    <w:p>
      <w:pPr>
        <w:widowControl/>
        <w:spacing w:line="520" w:lineRule="exact"/>
        <w:ind w:firstLine="643" w:firstLineChars="200"/>
        <w:jc w:val="left"/>
        <w:rPr>
          <w:rFonts w:hint="eastAsia" w:ascii="黑体" w:hAnsi="黑体" w:eastAsia="黑体" w:cs="黑体"/>
          <w:b/>
          <w:sz w:val="32"/>
          <w:szCs w:val="32"/>
        </w:rPr>
      </w:pPr>
      <w:r>
        <w:rPr>
          <w:rFonts w:hint="eastAsia" w:ascii="黑体" w:hAnsi="黑体" w:eastAsia="黑体" w:cs="黑体"/>
          <w:b/>
          <w:sz w:val="32"/>
          <w:szCs w:val="32"/>
          <w:lang w:eastAsia="zh-CN"/>
        </w:rPr>
        <w:t>二、</w:t>
      </w:r>
      <w:r>
        <w:rPr>
          <w:rFonts w:hint="eastAsia" w:ascii="黑体" w:hAnsi="黑体" w:eastAsia="黑体" w:cs="黑体"/>
          <w:b/>
          <w:sz w:val="32"/>
          <w:szCs w:val="32"/>
        </w:rPr>
        <w:t>机构设置：</w:t>
      </w:r>
    </w:p>
    <w:p>
      <w:pPr>
        <w:spacing w:after="0" w:line="560" w:lineRule="exact"/>
        <w:rPr>
          <w:rFonts w:hint="eastAsia" w:eastAsia="方正小标宋_GBK"/>
          <w:sz w:val="32"/>
          <w:lang w:eastAsia="zh-CN"/>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p>
      <w:pPr>
        <w:jc w:val="center"/>
        <w:outlineLvl w:val="0"/>
        <w:rPr>
          <w:rFonts w:eastAsia="方正小标宋_GBK"/>
          <w:sz w:val="32"/>
        </w:rPr>
      </w:pPr>
      <w:r>
        <w:rPr>
          <w:rFonts w:eastAsia="方正小标宋_GBK"/>
          <w:sz w:val="32"/>
        </w:rPr>
        <w:t>部门</w:t>
      </w:r>
      <w:r>
        <w:rPr>
          <w:rFonts w:hint="eastAsia" w:eastAsia="方正小标宋_GBK"/>
          <w:sz w:val="32"/>
        </w:rPr>
        <w:t>机构设置情况</w:t>
      </w:r>
    </w:p>
    <w:tbl>
      <w:tblPr>
        <w:tblStyle w:val="6"/>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2209"/>
        <w:gridCol w:w="2209"/>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2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单位名称</w:t>
            </w:r>
          </w:p>
        </w:tc>
        <w:tc>
          <w:tcPr>
            <w:tcW w:w="2209"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单位性质</w:t>
            </w:r>
          </w:p>
        </w:tc>
        <w:tc>
          <w:tcPr>
            <w:tcW w:w="2209"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单位规格</w:t>
            </w:r>
          </w:p>
        </w:tc>
        <w:tc>
          <w:tcPr>
            <w:tcW w:w="2679"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281"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霸州市城乡规划局</w:t>
            </w:r>
          </w:p>
        </w:tc>
        <w:tc>
          <w:tcPr>
            <w:tcW w:w="2209"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全额事业</w:t>
            </w:r>
          </w:p>
        </w:tc>
        <w:tc>
          <w:tcPr>
            <w:tcW w:w="2209"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正科级</w:t>
            </w:r>
          </w:p>
        </w:tc>
        <w:tc>
          <w:tcPr>
            <w:tcW w:w="2679"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财政性资金基本保证</w:t>
            </w:r>
          </w:p>
        </w:tc>
      </w:tr>
    </w:tbl>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snapToGrid w:val="0"/>
        <w:spacing w:line="240" w:lineRule="auto"/>
        <w:rPr>
          <w:rFonts w:eastAsia="黑体"/>
          <w:sz w:val="28"/>
          <w:szCs w:val="28"/>
        </w:rPr>
      </w:pPr>
      <w:r>
        <w:rPr>
          <w:rFonts w:eastAsia="黑体"/>
          <w:sz w:val="28"/>
          <w:szCs w:val="28"/>
        </w:rPr>
        <w:object>
          <v:shape id="_x0000_i1025" o:spt="75" type="#_x0000_t75" style="height:510.75pt;width:424.5pt;" o:ole="t" filled="f" o:preferrelative="t" stroked="f" coordsize="21600,21600">
            <v:path/>
            <v:fill on="f" focussize="0,0"/>
            <v:stroke on="f"/>
            <v:imagedata r:id="rId7" o:title=""/>
            <o:lock v:ext="edit" aspectratio="f"/>
            <w10:wrap type="none"/>
            <w10:anchorlock/>
          </v:shape>
          <o:OLEObject Type="Embed" ProgID="Excel.Sheet.8" ShapeID="_x0000_i1025" DrawAspect="Content" ObjectID="_1468075725" r:id="rId6">
            <o:LockedField>false</o:LockedField>
          </o:OLEObject>
        </w:object>
      </w: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240" w:lineRule="auto"/>
        <w:rPr>
          <w:rFonts w:eastAsia="黑体"/>
          <w:sz w:val="28"/>
          <w:szCs w:val="28"/>
        </w:rPr>
      </w:pPr>
      <w:r>
        <w:rPr>
          <w:rFonts w:eastAsia="黑体"/>
          <w:sz w:val="28"/>
          <w:szCs w:val="28"/>
        </w:rPr>
        <w:object>
          <v:shape id="_x0000_i1026" o:spt="75" type="#_x0000_t75" style="height:278.9pt;width:464.9pt;" o:ole="t" filled="f" o:preferrelative="t" stroked="f" coordsize="21600,21600">
            <v:path/>
            <v:fill on="f" focussize="0,0"/>
            <v:stroke on="f"/>
            <v:imagedata r:id="rId9" o:title=""/>
            <o:lock v:ext="edit" aspectratio="f"/>
            <w10:wrap type="none"/>
            <w10:anchorlock/>
          </v:shape>
          <o:OLEObject Type="Embed" ProgID="Excel.Sheet.8" ShapeID="_x0000_i1026" DrawAspect="Content" ObjectID="_1468075726" r:id="rId8">
            <o:LockedField>false</o:LockedField>
          </o:OLEObject>
        </w:object>
      </w: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240" w:lineRule="auto"/>
        <w:rPr>
          <w:rFonts w:eastAsia="黑体"/>
          <w:sz w:val="28"/>
          <w:szCs w:val="28"/>
        </w:rPr>
      </w:pPr>
      <w:r>
        <w:rPr>
          <w:rFonts w:eastAsia="黑体"/>
          <w:sz w:val="28"/>
          <w:szCs w:val="28"/>
        </w:rPr>
        <w:object>
          <v:shape id="_x0000_i1027" o:spt="75" type="#_x0000_t75" style="height:284.1pt;width:471.75pt;" o:ole="t" filled="f" o:preferrelative="t" stroked="f" coordsize="21600,21600">
            <v:path/>
            <v:fill on="f" focussize="0,0"/>
            <v:stroke on="f"/>
            <v:imagedata r:id="rId11" o:title=""/>
            <o:lock v:ext="edit" aspectratio="f"/>
            <w10:wrap type="none"/>
            <w10:anchorlock/>
          </v:shape>
          <o:OLEObject Type="Embed" ProgID="Excel.Sheet.8" ShapeID="_x0000_i1027" DrawAspect="Content" ObjectID="_1468075727" r:id="rId10">
            <o:LockedField>false</o:LockedField>
          </o:OLEObject>
        </w:object>
      </w: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240" w:lineRule="auto"/>
        <w:rPr>
          <w:rFonts w:eastAsia="黑体"/>
          <w:sz w:val="28"/>
          <w:szCs w:val="28"/>
        </w:rPr>
      </w:pPr>
      <w:r>
        <w:rPr>
          <w:rFonts w:eastAsia="黑体"/>
          <w:sz w:val="28"/>
          <w:szCs w:val="28"/>
        </w:rPr>
        <w:object>
          <v:shape id="_x0000_i1028" o:spt="75" type="#_x0000_t75" style="height:455.95pt;width:455.1pt;" o:ole="t" filled="f" o:preferrelative="t" stroked="f" coordsize="21600,21600">
            <v:path/>
            <v:fill on="f" focussize="0,0"/>
            <v:stroke on="f"/>
            <v:imagedata r:id="rId13" o:title=""/>
            <o:lock v:ext="edit" aspectratio="f"/>
            <w10:wrap type="none"/>
            <w10:anchorlock/>
          </v:shape>
          <o:OLEObject Type="Embed" ProgID="Excel.Sheet.8" ShapeID="_x0000_i1028" DrawAspect="Content" ObjectID="_1468075728" r:id="rId12">
            <o:LockedField>false</o:LockedField>
          </o:OLEObject>
        </w:object>
      </w: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r>
        <w:rPr>
          <w:rFonts w:eastAsia="黑体"/>
          <w:sz w:val="28"/>
          <w:szCs w:val="28"/>
        </w:rPr>
        <w:object>
          <v:shape id="_x0000_i1029" o:spt="75" type="#_x0000_t75" style="height:351.25pt;width:441.5pt;" o:ole="t" filled="f" o:preferrelative="t" stroked="f" coordsize="21600,21600">
            <v:path/>
            <v:fill on="f" focussize="0,0"/>
            <v:stroke on="f"/>
            <v:imagedata r:id="rId15" o:title=""/>
            <o:lock v:ext="edit" aspectratio="f"/>
            <w10:wrap type="none"/>
            <w10:anchorlock/>
          </v:shape>
          <o:OLEObject Type="Embed" ProgID="Excel.Sheet.8" ShapeID="_x0000_i1029" DrawAspect="Content" ObjectID="_1468075729" r:id="rId14">
            <o:LockedField>false</o:LockedField>
          </o:OLEObject>
        </w:object>
      </w: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r>
        <w:rPr>
          <w:rFonts w:eastAsia="黑体"/>
          <w:sz w:val="28"/>
          <w:szCs w:val="28"/>
        </w:rPr>
        <w:object>
          <v:shape id="_x0000_i1030" o:spt="75" type="#_x0000_t75" style="height:510.2pt;width:483.35pt;" o:ole="t" filled="f" o:preferrelative="t" stroked="f" coordsize="21600,21600">
            <v:path/>
            <v:fill on="f" focussize="0,0"/>
            <v:stroke on="f"/>
            <v:imagedata r:id="rId17" o:title=""/>
            <o:lock v:ext="edit" aspectratio="f"/>
            <w10:wrap type="none"/>
            <w10:anchorlock/>
          </v:shape>
          <o:OLEObject Type="Embed" ProgID="Excel.Sheet.8" ShapeID="_x0000_i1030" DrawAspect="Content" ObjectID="_1468075730" r:id="rId16">
            <o:LockedField>false</o:LockedField>
          </o:OLEObject>
        </w:object>
      </w: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tbl>
      <w:tblPr>
        <w:tblStyle w:val="6"/>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lang w:eastAsia="zh-CN"/>
              </w:rPr>
              <w:t>廊坊市霸州市国土资源局（本级）</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240" w:lineRule="auto"/>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240" w:lineRule="auto"/>
        <w:rPr>
          <w:rFonts w:eastAsia="黑体"/>
          <w:sz w:val="28"/>
          <w:szCs w:val="28"/>
        </w:rPr>
      </w:pPr>
      <w:r>
        <w:rPr>
          <w:rFonts w:eastAsia="黑体"/>
          <w:sz w:val="28"/>
          <w:szCs w:val="28"/>
        </w:rPr>
        <w:object>
          <v:shape id="_x0000_i1031" o:spt="75" type="#_x0000_t75" style="height:260.1pt;width:466.55pt;" o:ole="t" filled="f" o:preferrelative="t" stroked="f" coordsize="21600,21600">
            <v:path/>
            <v:fill on="f" focussize="0,0"/>
            <v:stroke on="f"/>
            <v:imagedata r:id="rId19" o:title=""/>
            <o:lock v:ext="edit" aspectratio="f"/>
            <w10:wrap type="none"/>
            <w10:anchorlock/>
          </v:shape>
          <o:OLEObject Type="Embed" ProgID="Excel.Sheet.8" ShapeID="_x0000_i1031" DrawAspect="Content" ObjectID="_1468075731" r:id="rId18">
            <o:LockedField>false</o:LockedField>
          </o:OLEObject>
        </w:object>
      </w: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240" w:lineRule="auto"/>
        <w:rPr>
          <w:rFonts w:eastAsia="黑体"/>
          <w:sz w:val="28"/>
          <w:szCs w:val="28"/>
        </w:rPr>
      </w:pPr>
      <w:r>
        <w:rPr>
          <w:rFonts w:eastAsia="黑体"/>
          <w:sz w:val="28"/>
          <w:szCs w:val="28"/>
        </w:rPr>
        <w:object>
          <v:shape id="_x0000_i1032" o:spt="75" type="#_x0000_t75" style="height:296.85pt;width:468.35pt;" o:ole="t" filled="f" o:preferrelative="t" stroked="f" coordsize="21600,21600">
            <v:path/>
            <v:fill on="f" focussize="0,0"/>
            <v:stroke on="f"/>
            <v:imagedata r:id="rId21" o:title=""/>
            <o:lock v:ext="edit" aspectratio="f"/>
            <w10:wrap type="none"/>
            <w10:anchorlock/>
          </v:shape>
          <o:OLEObject Type="Embed" ProgID="Excel.Sheet.8" ShapeID="_x0000_i1032" DrawAspect="Content" ObjectID="_1468075732" r:id="rId20">
            <o:LockedField>false</o:LockedField>
          </o:OLEObject>
        </w:object>
      </w: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240" w:lineRule="auto"/>
        <w:rPr>
          <w:rFonts w:eastAsia="黑体"/>
          <w:sz w:val="28"/>
          <w:szCs w:val="28"/>
        </w:rPr>
      </w:pPr>
      <w:r>
        <w:rPr>
          <w:rFonts w:eastAsia="黑体"/>
          <w:sz w:val="28"/>
          <w:szCs w:val="28"/>
        </w:rPr>
        <w:object>
          <v:shape id="_x0000_i1033" o:spt="75" type="#_x0000_t75" style="height:306.5pt;width:450.95pt;" o:ole="t" filled="f" o:preferrelative="t" stroked="f" coordsize="21600,21600">
            <v:path/>
            <v:fill on="f" focussize="0,0"/>
            <v:stroke on="f"/>
            <v:imagedata r:id="rId23" o:title=""/>
            <o:lock v:ext="edit" aspectratio="f"/>
            <w10:wrap type="none"/>
            <w10:anchorlock/>
          </v:shape>
          <o:OLEObject Type="Embed" ProgID="Excel.Sheet.8" ShapeID="_x0000_i1033" DrawAspect="Content" ObjectID="_1468075733" r:id="rId22">
            <o:LockedField>false</o:LockedField>
          </o:OLEObject>
        </w:object>
      </w: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snapToGrid w:val="0"/>
        <w:spacing w:line="520" w:lineRule="exact"/>
        <w:rPr>
          <w:rFonts w:eastAsia="黑体"/>
          <w:sz w:val="28"/>
          <w:szCs w:val="28"/>
        </w:rPr>
      </w:pPr>
    </w:p>
    <w:p>
      <w:pPr>
        <w:widowControl/>
        <w:spacing w:line="1200" w:lineRule="exact"/>
        <w:jc w:val="center"/>
        <w:rPr>
          <w:rFonts w:hint="eastAsia" w:hAnsi="宋体" w:asciiTheme="minorEastAsia" w:eastAsiaTheme="minorEastAsia"/>
          <w:color w:val="000000" w:themeColor="text1"/>
          <w:sz w:val="96"/>
          <w:szCs w:val="96"/>
        </w:rPr>
      </w:pPr>
    </w:p>
    <w:p>
      <w:pPr>
        <w:widowControl/>
        <w:spacing w:line="1200" w:lineRule="exact"/>
        <w:jc w:val="center"/>
        <w:rPr>
          <w:rFonts w:hint="eastAsia" w:hAnsi="宋体" w:asciiTheme="minorEastAsia" w:eastAsiaTheme="minorEastAsia"/>
          <w:color w:val="000000" w:themeColor="text1"/>
          <w:sz w:val="96"/>
          <w:szCs w:val="96"/>
        </w:rPr>
      </w:pPr>
    </w:p>
    <w:p>
      <w:pPr>
        <w:widowControl/>
        <w:spacing w:line="1200" w:lineRule="exact"/>
        <w:jc w:val="center"/>
        <w:rPr>
          <w:rFonts w:hint="eastAsia"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snapToGrid w:val="0"/>
        <w:spacing w:line="520" w:lineRule="exact"/>
        <w:ind w:firstLine="640"/>
        <w:rPr>
          <w:rFonts w:hint="eastAsia" w:ascii="黑体" w:hAnsi="黑体" w:eastAsia="黑体" w:cs="黑体"/>
          <w:b/>
          <w:sz w:val="32"/>
          <w:szCs w:val="32"/>
        </w:rPr>
      </w:pPr>
      <w:r>
        <w:rPr>
          <w:rFonts w:hint="eastAsia" w:ascii="黑体" w:hAnsi="黑体" w:eastAsia="黑体" w:cs="黑体"/>
          <w:b/>
          <w:sz w:val="32"/>
          <w:szCs w:val="32"/>
          <w:lang w:eastAsia="zh-CN"/>
        </w:rPr>
        <w:t>一、</w:t>
      </w:r>
      <w:r>
        <w:rPr>
          <w:rFonts w:hint="eastAsia" w:ascii="黑体" w:hAnsi="黑体" w:eastAsia="黑体" w:cs="黑体"/>
          <w:b/>
          <w:sz w:val="32"/>
          <w:szCs w:val="32"/>
        </w:rPr>
        <w:t>收入支出决算总体情况说明</w:t>
      </w:r>
    </w:p>
    <w:p>
      <w:pPr>
        <w:snapToGrid w:val="0"/>
        <w:spacing w:line="520" w:lineRule="exact"/>
        <w:ind w:firstLine="640" w:firstLineChars="200"/>
        <w:rPr>
          <w:rFonts w:ascii="楷体" w:hAnsi="楷体" w:eastAsia="楷体"/>
          <w:b/>
          <w:sz w:val="32"/>
          <w:szCs w:val="32"/>
        </w:rPr>
      </w:pPr>
      <w:r>
        <w:rPr>
          <w:rFonts w:ascii="仿宋" w:hAnsi="仿宋" w:eastAsia="仿宋"/>
          <w:sz w:val="32"/>
          <w:szCs w:val="32"/>
        </w:rPr>
        <w:t>本部门</w:t>
      </w:r>
      <w:r>
        <w:rPr>
          <w:rFonts w:hint="eastAsia" w:ascii="仿宋" w:hAnsi="仿宋" w:eastAsia="仿宋"/>
          <w:sz w:val="32"/>
          <w:szCs w:val="32"/>
        </w:rPr>
        <w:t>综合收支情况。2018年度决算收入总计3007.58万元，决算支出总计3020.95万元。年初结转和结余26.5万元；年末结转和结余13.12万元。收入与2017年度决算相比，增加1824.95万元，增长154.31%，主要原因是项目经费的增加。支出与2017年度决算相比，增加1821.15万元，增长151.79%，主要原因是本年度项目的增加。</w:t>
      </w:r>
    </w:p>
    <w:p>
      <w:pPr>
        <w:widowControl/>
        <w:spacing w:line="520" w:lineRule="exact"/>
        <w:ind w:firstLine="643" w:firstLineChars="200"/>
        <w:jc w:val="left"/>
        <w:rPr>
          <w:rFonts w:hint="eastAsia" w:ascii="黑体" w:hAnsi="黑体" w:eastAsia="黑体" w:cs="黑体"/>
          <w:b/>
          <w:sz w:val="32"/>
          <w:szCs w:val="32"/>
        </w:rPr>
      </w:pPr>
      <w:r>
        <w:rPr>
          <w:rFonts w:hint="eastAsia" w:ascii="黑体" w:hAnsi="黑体" w:eastAsia="黑体" w:cs="黑体"/>
          <w:b/>
          <w:sz w:val="32"/>
          <w:szCs w:val="32"/>
          <w:lang w:eastAsia="zh-CN"/>
        </w:rPr>
        <w:t>二、</w:t>
      </w:r>
      <w:r>
        <w:rPr>
          <w:rFonts w:hint="eastAsia" w:ascii="黑体" w:hAnsi="黑体" w:eastAsia="黑体" w:cs="黑体"/>
          <w:b/>
          <w:sz w:val="32"/>
          <w:szCs w:val="32"/>
        </w:rPr>
        <w:t>收入决算情况说明</w:t>
      </w:r>
    </w:p>
    <w:p>
      <w:pPr>
        <w:ind w:firstLine="640" w:firstLineChars="200"/>
        <w:rPr>
          <w:rFonts w:hint="eastAsia" w:ascii="仿宋" w:hAnsi="仿宋" w:eastAsia="仿宋" w:cs="仿宋"/>
          <w:sz w:val="32"/>
          <w:szCs w:val="32"/>
        </w:rPr>
      </w:pPr>
      <w:r>
        <w:rPr>
          <w:rFonts w:ascii="仿宋" w:hAnsi="仿宋" w:eastAsia="仿宋" w:cs="仿宋"/>
          <w:sz w:val="32"/>
          <w:szCs w:val="32"/>
        </w:rPr>
        <w:t>本部门当年</w:t>
      </w:r>
      <w:r>
        <w:rPr>
          <w:rFonts w:hint="eastAsia" w:ascii="仿宋" w:hAnsi="仿宋" w:eastAsia="仿宋" w:cs="仿宋"/>
          <w:sz w:val="32"/>
          <w:szCs w:val="32"/>
        </w:rPr>
        <w:t>总体收入情况</w:t>
      </w:r>
      <w:r>
        <w:rPr>
          <w:rFonts w:ascii="仿宋" w:hAnsi="仿宋" w:eastAsia="仿宋" w:cs="仿宋"/>
          <w:sz w:val="32"/>
          <w:szCs w:val="32"/>
        </w:rPr>
        <w:t>。</w:t>
      </w:r>
      <w:r>
        <w:rPr>
          <w:rFonts w:hint="eastAsia" w:ascii="仿宋" w:hAnsi="仿宋" w:eastAsia="仿宋" w:cs="仿宋"/>
          <w:sz w:val="32"/>
          <w:szCs w:val="32"/>
        </w:rPr>
        <w:t>2018年度收入3007.58万元。</w:t>
      </w:r>
      <w:r>
        <w:rPr>
          <w:rFonts w:ascii="仿宋" w:hAnsi="仿宋" w:eastAsia="仿宋" w:cs="仿宋"/>
          <w:sz w:val="32"/>
          <w:szCs w:val="32"/>
        </w:rPr>
        <w:t>其中</w:t>
      </w:r>
      <w:r>
        <w:rPr>
          <w:rFonts w:hint="eastAsia" w:ascii="仿宋" w:hAnsi="仿宋" w:eastAsia="仿宋" w:cs="仿宋"/>
          <w:sz w:val="32"/>
          <w:szCs w:val="32"/>
        </w:rPr>
        <w:t>财政拨款收入3007.58</w:t>
      </w:r>
      <w:r>
        <w:rPr>
          <w:rFonts w:ascii="仿宋" w:hAnsi="仿宋" w:eastAsia="仿宋" w:cs="仿宋"/>
          <w:sz w:val="32"/>
          <w:szCs w:val="32"/>
        </w:rPr>
        <w:t>万元</w:t>
      </w:r>
      <w:r>
        <w:rPr>
          <w:rFonts w:hint="eastAsia" w:ascii="仿宋" w:hAnsi="仿宋" w:eastAsia="仿宋" w:cs="仿宋"/>
          <w:sz w:val="32"/>
          <w:szCs w:val="32"/>
        </w:rPr>
        <w:t>，占比100%；事业收入0万元，占比0%；其他收入0万元，占比0%。</w:t>
      </w:r>
    </w:p>
    <w:tbl>
      <w:tblPr>
        <w:tblStyle w:val="6"/>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44"/>
        <w:gridCol w:w="1789"/>
        <w:gridCol w:w="1613"/>
        <w:gridCol w:w="1613"/>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8" w:hRule="atLeast"/>
        </w:trPr>
        <w:tc>
          <w:tcPr>
            <w:tcW w:w="9180"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表1：收入决算结构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7" w:hRule="atLeast"/>
        </w:trPr>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7" w:hRule="atLeast"/>
        </w:trPr>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金额（万元）</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3007.58</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4" w:hRule="atLeast"/>
        </w:trPr>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100</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18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r>
    </w:tbl>
    <w:p>
      <w:pPr>
        <w:ind w:firstLine="640" w:firstLineChars="200"/>
        <w:rPr>
          <w:rFonts w:hint="eastAsia" w:ascii="仿宋" w:hAnsi="仿宋" w:eastAsia="仿宋" w:cs="仿宋"/>
          <w:sz w:val="32"/>
          <w:szCs w:val="32"/>
        </w:rPr>
      </w:pPr>
    </w:p>
    <w:p>
      <w:pPr>
        <w:ind w:firstLine="643" w:firstLineChars="200"/>
        <w:rPr>
          <w:rFonts w:hint="eastAsia" w:ascii="黑体" w:hAnsi="黑体" w:eastAsia="黑体" w:cs="黑体"/>
          <w:b/>
          <w:sz w:val="32"/>
          <w:szCs w:val="32"/>
        </w:rPr>
      </w:pPr>
      <w:r>
        <w:rPr>
          <w:rFonts w:hint="eastAsia" w:ascii="黑体" w:hAnsi="黑体" w:eastAsia="黑体" w:cs="黑体"/>
          <w:b/>
          <w:sz w:val="32"/>
          <w:szCs w:val="32"/>
          <w:lang w:eastAsia="zh-CN"/>
        </w:rPr>
        <w:t>三、</w:t>
      </w:r>
      <w:r>
        <w:rPr>
          <w:rFonts w:hint="eastAsia" w:ascii="黑体" w:hAnsi="黑体" w:eastAsia="黑体" w:cs="黑体"/>
          <w:b/>
          <w:sz w:val="32"/>
          <w:szCs w:val="32"/>
        </w:rPr>
        <w:t>支出决算情况说明</w:t>
      </w:r>
    </w:p>
    <w:p>
      <w:pPr>
        <w:ind w:firstLine="640" w:firstLineChars="200"/>
        <w:rPr>
          <w:rFonts w:ascii="仿宋" w:hAnsi="仿宋" w:eastAsia="仿宋" w:cs="仿宋"/>
          <w:sz w:val="32"/>
          <w:szCs w:val="32"/>
        </w:rPr>
      </w:pPr>
      <w:r>
        <w:rPr>
          <w:rFonts w:ascii="仿宋" w:hAnsi="仿宋" w:eastAsia="仿宋" w:cs="仿宋"/>
          <w:sz w:val="32"/>
          <w:szCs w:val="32"/>
        </w:rPr>
        <w:t>本部门当年</w:t>
      </w:r>
      <w:r>
        <w:rPr>
          <w:rFonts w:hint="eastAsia" w:ascii="仿宋" w:hAnsi="仿宋" w:eastAsia="仿宋" w:cs="仿宋"/>
          <w:sz w:val="32"/>
          <w:szCs w:val="32"/>
        </w:rPr>
        <w:t>总体支出情况</w:t>
      </w:r>
      <w:r>
        <w:rPr>
          <w:rFonts w:ascii="仿宋" w:hAnsi="仿宋" w:eastAsia="仿宋" w:cs="仿宋"/>
          <w:sz w:val="32"/>
          <w:szCs w:val="32"/>
        </w:rPr>
        <w:t>。</w:t>
      </w:r>
      <w:r>
        <w:rPr>
          <w:rFonts w:hint="eastAsia" w:ascii="仿宋" w:hAnsi="仿宋" w:eastAsia="仿宋" w:cs="仿宋"/>
          <w:sz w:val="32"/>
          <w:szCs w:val="32"/>
        </w:rPr>
        <w:t>2018年度支出3020.95万元。</w:t>
      </w:r>
      <w:r>
        <w:rPr>
          <w:rFonts w:ascii="仿宋" w:hAnsi="仿宋" w:eastAsia="仿宋" w:cs="仿宋"/>
          <w:sz w:val="32"/>
          <w:szCs w:val="32"/>
        </w:rPr>
        <w:t>其中：基本支出</w:t>
      </w:r>
      <w:r>
        <w:rPr>
          <w:rFonts w:hint="eastAsia" w:ascii="仿宋" w:hAnsi="仿宋" w:eastAsia="仿宋" w:cs="仿宋"/>
          <w:sz w:val="32"/>
          <w:szCs w:val="32"/>
        </w:rPr>
        <w:t>551.58</w:t>
      </w:r>
      <w:r>
        <w:rPr>
          <w:rFonts w:ascii="仿宋" w:hAnsi="仿宋" w:eastAsia="仿宋" w:cs="仿宋"/>
          <w:sz w:val="32"/>
          <w:szCs w:val="32"/>
        </w:rPr>
        <w:t>万元，</w:t>
      </w:r>
      <w:r>
        <w:rPr>
          <w:rFonts w:hint="eastAsia" w:ascii="仿宋" w:hAnsi="仿宋" w:eastAsia="仿宋" w:cs="仿宋"/>
          <w:sz w:val="32"/>
          <w:szCs w:val="32"/>
        </w:rPr>
        <w:t>占比18.26%，</w:t>
      </w:r>
      <w:r>
        <w:rPr>
          <w:rFonts w:ascii="仿宋" w:hAnsi="仿宋" w:eastAsia="仿宋" w:cs="仿宋"/>
          <w:sz w:val="32"/>
          <w:szCs w:val="32"/>
        </w:rPr>
        <w:t>包含人员经费支出</w:t>
      </w:r>
      <w:r>
        <w:rPr>
          <w:rFonts w:hint="eastAsia" w:ascii="仿宋" w:hAnsi="仿宋" w:eastAsia="仿宋" w:cs="仿宋"/>
          <w:sz w:val="32"/>
          <w:szCs w:val="32"/>
        </w:rPr>
        <w:t>481.53</w:t>
      </w:r>
      <w:r>
        <w:rPr>
          <w:rFonts w:ascii="仿宋" w:hAnsi="仿宋" w:eastAsia="仿宋" w:cs="仿宋"/>
          <w:sz w:val="32"/>
          <w:szCs w:val="32"/>
        </w:rPr>
        <w:t>万元和日常公用经费支出</w:t>
      </w:r>
      <w:r>
        <w:rPr>
          <w:rFonts w:hint="eastAsia" w:ascii="仿宋" w:hAnsi="仿宋" w:eastAsia="仿宋" w:cs="仿宋"/>
          <w:sz w:val="32"/>
          <w:szCs w:val="32"/>
        </w:rPr>
        <w:t>70.05</w:t>
      </w:r>
      <w:r>
        <w:rPr>
          <w:rFonts w:ascii="仿宋" w:hAnsi="仿宋" w:eastAsia="仿宋" w:cs="仿宋"/>
          <w:sz w:val="32"/>
          <w:szCs w:val="32"/>
        </w:rPr>
        <w:t>万元；项目支出</w:t>
      </w:r>
      <w:r>
        <w:rPr>
          <w:rFonts w:hint="eastAsia" w:ascii="仿宋" w:hAnsi="仿宋" w:eastAsia="仿宋" w:cs="仿宋"/>
          <w:sz w:val="32"/>
          <w:szCs w:val="32"/>
        </w:rPr>
        <w:t>2469.37</w:t>
      </w:r>
      <w:r>
        <w:rPr>
          <w:rFonts w:ascii="仿宋" w:hAnsi="仿宋" w:eastAsia="仿宋" w:cs="仿宋"/>
          <w:sz w:val="32"/>
          <w:szCs w:val="32"/>
        </w:rPr>
        <w:t>万元</w:t>
      </w:r>
      <w:r>
        <w:rPr>
          <w:rFonts w:hint="eastAsia" w:ascii="仿宋" w:hAnsi="仿宋" w:eastAsia="仿宋" w:cs="仿宋"/>
          <w:sz w:val="32"/>
          <w:szCs w:val="32"/>
        </w:rPr>
        <w:t>，占比81.74%</w:t>
      </w:r>
      <w:r>
        <w:rPr>
          <w:rFonts w:ascii="仿宋" w:hAnsi="仿宋" w:eastAsia="仿宋" w:cs="仿宋"/>
          <w:sz w:val="32"/>
          <w:szCs w:val="32"/>
        </w:rPr>
        <w:t>。</w:t>
      </w:r>
    </w:p>
    <w:tbl>
      <w:tblPr>
        <w:tblStyle w:val="6"/>
        <w:tblW w:w="9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50"/>
        <w:gridCol w:w="2353"/>
        <w:gridCol w:w="2118"/>
        <w:gridCol w:w="2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7" w:hRule="atLeast"/>
        </w:trPr>
        <w:tc>
          <w:tcPr>
            <w:tcW w:w="9080"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表2：支出决算结构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2" w:hRule="atLeast"/>
        </w:trPr>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r>
              <w:rPr>
                <w:rFonts w:hint="eastAsia" w:ascii="宋体" w:hAnsi="宋体" w:cs="宋体"/>
                <w:i w:val="0"/>
                <w:color w:val="000000"/>
                <w:kern w:val="0"/>
                <w:sz w:val="20"/>
                <w:szCs w:val="20"/>
                <w:u w:val="none"/>
                <w:lang w:val="en-US" w:eastAsia="zh-CN" w:bidi="ar"/>
              </w:rPr>
              <w:t>支出</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2" w:hRule="atLeast"/>
        </w:trPr>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金额（万元）</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551.58</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2469.37</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atLeast"/>
        </w:trPr>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18.26</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81.74</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r>
    </w:tbl>
    <w:p>
      <w:pPr>
        <w:ind w:firstLine="640" w:firstLineChars="200"/>
        <w:rPr>
          <w:rFonts w:ascii="仿宋" w:hAnsi="仿宋" w:eastAsia="仿宋" w:cs="仿宋"/>
          <w:sz w:val="32"/>
          <w:szCs w:val="32"/>
        </w:rPr>
      </w:pPr>
    </w:p>
    <w:p>
      <w:pPr>
        <w:widowControl/>
        <w:spacing w:line="520" w:lineRule="exact"/>
        <w:ind w:firstLine="643" w:firstLineChars="200"/>
        <w:jc w:val="left"/>
        <w:rPr>
          <w:rFonts w:hint="eastAsia" w:ascii="黑体" w:hAnsi="黑体" w:eastAsia="黑体" w:cs="黑体"/>
          <w:b/>
          <w:sz w:val="32"/>
          <w:szCs w:val="32"/>
        </w:rPr>
      </w:pPr>
      <w:r>
        <w:rPr>
          <w:rFonts w:hint="eastAsia" w:ascii="黑体" w:hAnsi="黑体" w:eastAsia="黑体" w:cs="黑体"/>
          <w:b/>
          <w:sz w:val="32"/>
          <w:szCs w:val="32"/>
          <w:lang w:eastAsia="zh-CN"/>
        </w:rPr>
        <w:t>四、</w:t>
      </w:r>
      <w:r>
        <w:rPr>
          <w:rFonts w:hint="eastAsia" w:ascii="黑体" w:hAnsi="黑体" w:eastAsia="黑体" w:cs="黑体"/>
          <w:b/>
          <w:sz w:val="32"/>
          <w:szCs w:val="32"/>
        </w:rPr>
        <w:t>财政拨款收入支出决算总体情况说明</w:t>
      </w:r>
    </w:p>
    <w:p>
      <w:pPr>
        <w:widowControl/>
        <w:spacing w:line="560" w:lineRule="exact"/>
        <w:ind w:firstLine="643" w:firstLineChars="200"/>
        <w:rPr>
          <w:rFonts w:ascii="仿宋" w:hAnsi="仿宋" w:eastAsia="仿宋" w:cs="仿宋"/>
          <w:b/>
          <w:bCs/>
          <w:color w:val="FF0000"/>
          <w:sz w:val="32"/>
          <w:szCs w:val="32"/>
        </w:rPr>
      </w:pPr>
      <w:r>
        <w:rPr>
          <w:rFonts w:hint="eastAsia" w:ascii="仿宋" w:hAnsi="仿宋" w:eastAsia="仿宋" w:cs="仿宋"/>
          <w:b/>
          <w:bCs/>
          <w:sz w:val="32"/>
          <w:lang w:eastAsia="zh-CN"/>
        </w:rPr>
        <w:t>（一）</w:t>
      </w:r>
      <w:r>
        <w:rPr>
          <w:rFonts w:hint="eastAsia" w:ascii="仿宋" w:hAnsi="仿宋" w:eastAsia="仿宋" w:cs="仿宋"/>
          <w:b/>
          <w:bCs/>
          <w:sz w:val="32"/>
        </w:rPr>
        <w:t>、财政拨款收支与2017年度决算对比情况</w:t>
      </w:r>
    </w:p>
    <w:p>
      <w:pPr>
        <w:snapToGrid w:val="0"/>
        <w:spacing w:line="560" w:lineRule="exact"/>
        <w:ind w:firstLine="640" w:firstLineChars="200"/>
        <w:rPr>
          <w:rFonts w:hint="eastAsia" w:ascii="仿宋" w:hAnsi="仿宋" w:eastAsia="仿宋" w:cs="仿宋"/>
          <w:sz w:val="32"/>
        </w:rPr>
      </w:pPr>
      <w:r>
        <w:rPr>
          <w:rFonts w:hint="eastAsia" w:ascii="仿宋" w:hAnsi="仿宋" w:eastAsia="仿宋" w:cs="仿宋"/>
          <w:sz w:val="32"/>
          <w:szCs w:val="32"/>
        </w:rPr>
        <w:t>霸州市城乡规划局部门2018年财政拨款收入决算总计</w:t>
      </w:r>
      <w:r>
        <w:rPr>
          <w:rFonts w:hint="eastAsia" w:ascii="仿宋" w:hAnsi="仿宋" w:eastAsia="仿宋"/>
          <w:sz w:val="32"/>
          <w:szCs w:val="32"/>
        </w:rPr>
        <w:t>3007.58</w:t>
      </w:r>
      <w:r>
        <w:rPr>
          <w:rFonts w:hint="eastAsia" w:ascii="仿宋" w:hAnsi="仿宋" w:eastAsia="仿宋" w:cs="仿宋"/>
          <w:sz w:val="32"/>
          <w:szCs w:val="32"/>
        </w:rPr>
        <w:t>万元，较2017年</w:t>
      </w:r>
      <w:r>
        <w:rPr>
          <w:rFonts w:hint="eastAsia" w:ascii="仿宋" w:hAnsi="仿宋" w:eastAsia="仿宋" w:cs="仿宋"/>
          <w:sz w:val="32"/>
        </w:rPr>
        <w:t>度决算</w:t>
      </w:r>
      <w:r>
        <w:rPr>
          <w:rFonts w:hint="eastAsia" w:ascii="仿宋" w:hAnsi="仿宋" w:eastAsia="仿宋"/>
          <w:sz w:val="32"/>
          <w:szCs w:val="32"/>
        </w:rPr>
        <w:t>增加1824.95万元，增长154.31%</w:t>
      </w:r>
      <w:r>
        <w:rPr>
          <w:rFonts w:hint="eastAsia" w:ascii="仿宋" w:hAnsi="仿宋" w:eastAsia="仿宋" w:cs="仿宋"/>
          <w:sz w:val="32"/>
        </w:rPr>
        <w:t>，主要原因是</w:t>
      </w:r>
      <w:r>
        <w:rPr>
          <w:rFonts w:hint="eastAsia" w:ascii="仿宋" w:hAnsi="仿宋" w:eastAsia="仿宋"/>
          <w:sz w:val="32"/>
          <w:szCs w:val="32"/>
        </w:rPr>
        <w:t>项目经费的增加</w:t>
      </w:r>
      <w:r>
        <w:rPr>
          <w:rFonts w:hint="eastAsia" w:ascii="仿宋" w:hAnsi="仿宋" w:eastAsia="仿宋" w:cs="仿宋"/>
          <w:sz w:val="32"/>
        </w:rPr>
        <w:t>。</w:t>
      </w:r>
    </w:p>
    <w:p>
      <w:pPr>
        <w:snapToGrid w:val="0"/>
        <w:spacing w:line="560" w:lineRule="exact"/>
        <w:ind w:firstLine="640" w:firstLineChars="200"/>
        <w:rPr>
          <w:rFonts w:hint="eastAsia" w:ascii="仿宋" w:hAnsi="仿宋" w:eastAsia="仿宋" w:cs="仿宋"/>
          <w:sz w:val="32"/>
        </w:rPr>
      </w:pPr>
      <w:r>
        <w:rPr>
          <w:rFonts w:hint="eastAsia" w:ascii="仿宋" w:hAnsi="仿宋" w:eastAsia="仿宋" w:cs="仿宋"/>
          <w:sz w:val="32"/>
          <w:szCs w:val="32"/>
        </w:rPr>
        <w:t>其中</w:t>
      </w:r>
      <w:r>
        <w:rPr>
          <w:rFonts w:hint="eastAsia" w:ascii="仿宋" w:hAnsi="仿宋" w:eastAsia="仿宋" w:cs="仿宋"/>
          <w:sz w:val="32"/>
          <w:szCs w:val="32"/>
          <w:lang w:eastAsia="zh-CN"/>
        </w:rPr>
        <w:t>：</w:t>
      </w:r>
      <w:r>
        <w:rPr>
          <w:rFonts w:hint="eastAsia" w:ascii="仿宋" w:hAnsi="仿宋" w:eastAsia="仿宋" w:cs="仿宋"/>
          <w:sz w:val="32"/>
          <w:szCs w:val="32"/>
        </w:rPr>
        <w:t>一般公共预算拨款减少93.06万元，政府性基金预算财政拨款增加1918.01万元。2018年财政拨款支出决算总计</w:t>
      </w:r>
      <w:r>
        <w:rPr>
          <w:rFonts w:hint="eastAsia" w:ascii="仿宋" w:hAnsi="仿宋" w:eastAsia="仿宋"/>
          <w:sz w:val="32"/>
          <w:szCs w:val="32"/>
        </w:rPr>
        <w:t>3020.95</w:t>
      </w:r>
      <w:r>
        <w:rPr>
          <w:rFonts w:hint="eastAsia" w:ascii="仿宋" w:hAnsi="仿宋" w:eastAsia="仿宋" w:cs="仿宋"/>
          <w:sz w:val="32"/>
          <w:szCs w:val="32"/>
        </w:rPr>
        <w:t>万元，较2017年</w:t>
      </w:r>
      <w:r>
        <w:rPr>
          <w:rFonts w:hint="eastAsia" w:ascii="仿宋" w:hAnsi="仿宋" w:eastAsia="仿宋" w:cs="仿宋"/>
          <w:sz w:val="32"/>
        </w:rPr>
        <w:t>度决算</w:t>
      </w:r>
      <w:r>
        <w:rPr>
          <w:rFonts w:hint="eastAsia" w:ascii="仿宋" w:hAnsi="仿宋" w:eastAsia="仿宋"/>
          <w:sz w:val="32"/>
          <w:szCs w:val="32"/>
        </w:rPr>
        <w:t>增加1821.15万元，增长151.79%，主要原因是本年度项目的增加</w:t>
      </w:r>
      <w:r>
        <w:rPr>
          <w:rFonts w:hint="eastAsia" w:ascii="仿宋" w:hAnsi="仿宋" w:eastAsia="仿宋" w:cs="仿宋"/>
          <w:sz w:val="32"/>
        </w:rPr>
        <w:t>。</w:t>
      </w:r>
      <w:r>
        <w:rPr>
          <w:rFonts w:hint="eastAsia" w:ascii="仿宋" w:hAnsi="仿宋" w:eastAsia="仿宋" w:cs="仿宋"/>
          <w:sz w:val="32"/>
          <w:szCs w:val="32"/>
        </w:rPr>
        <w:t>其中基本支出减少84.30万元，项目支出增加1905.45万元</w:t>
      </w:r>
      <w:r>
        <w:rPr>
          <w:rFonts w:hint="eastAsia" w:ascii="仿宋" w:hAnsi="仿宋" w:eastAsia="仿宋" w:cs="仿宋"/>
          <w:sz w:val="32"/>
        </w:rPr>
        <w:t>。</w:t>
      </w:r>
    </w:p>
    <w:tbl>
      <w:tblPr>
        <w:tblStyle w:val="6"/>
        <w:tblpPr w:leftFromText="180" w:rightFromText="180" w:vertAnchor="text" w:horzAnchor="page" w:tblpX="1572" w:tblpY="2792"/>
        <w:tblOverlap w:val="never"/>
        <w:tblW w:w="9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19"/>
        <w:gridCol w:w="1070"/>
        <w:gridCol w:w="1071"/>
        <w:gridCol w:w="1073"/>
        <w:gridCol w:w="1071"/>
        <w:gridCol w:w="1072"/>
        <w:gridCol w:w="1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8" w:hRule="atLeast"/>
        </w:trPr>
        <w:tc>
          <w:tcPr>
            <w:tcW w:w="9160" w:type="dxa"/>
            <w:gridSpan w:val="7"/>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auto"/>
                <w:sz w:val="28"/>
                <w:szCs w:val="28"/>
                <w:u w:val="none"/>
              </w:rPr>
            </w:pPr>
            <w:r>
              <w:rPr>
                <w:rFonts w:hint="default" w:ascii="仿宋_GB2312" w:hAnsi="宋体" w:eastAsia="仿宋_GB2312" w:cs="仿宋_GB2312"/>
                <w:i w:val="0"/>
                <w:color w:val="auto"/>
                <w:kern w:val="0"/>
                <w:sz w:val="28"/>
                <w:szCs w:val="28"/>
                <w:u w:val="none"/>
                <w:lang w:val="en-US" w:eastAsia="zh-CN" w:bidi="ar"/>
              </w:rPr>
              <w:t>表3：2017-2018年财政拨款收支情况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5" w:hRule="atLeast"/>
        </w:trPr>
        <w:tc>
          <w:tcPr>
            <w:tcW w:w="1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项目</w:t>
            </w:r>
          </w:p>
        </w:tc>
        <w:tc>
          <w:tcPr>
            <w:tcW w:w="32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财政拨款收入</w:t>
            </w:r>
          </w:p>
        </w:tc>
        <w:tc>
          <w:tcPr>
            <w:tcW w:w="40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92" w:hRule="atLeast"/>
        </w:trPr>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0"/>
                <w:szCs w:val="20"/>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小计</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一般公共预算财政拨款收入</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政府性基金预算财政拨款收入</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小计</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一般公共预算财政拨款支出</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trPr>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2017年（万元）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1182.63</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631.27</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551.36</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1199.80</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635.88</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563.92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trPr>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2018年（万元）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3007.58</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538.21</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2469.37</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3020.95</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551.58</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2469.37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3" w:hRule="atLeast"/>
        </w:trPr>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增长比率（%）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154.31%</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-14.74%</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347.86%</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151.78%</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-13.25%</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337.89%</w:t>
            </w:r>
          </w:p>
        </w:tc>
      </w:tr>
    </w:tbl>
    <w:p>
      <w:pPr>
        <w:snapToGrid w:val="0"/>
        <w:spacing w:line="560" w:lineRule="exact"/>
        <w:rPr>
          <w:rFonts w:hint="eastAsia" w:ascii="仿宋" w:hAnsi="仿宋" w:eastAsia="仿宋" w:cs="仿宋"/>
          <w:sz w:val="32"/>
        </w:rPr>
      </w:pPr>
    </w:p>
    <w:p>
      <w:pPr>
        <w:widowControl/>
        <w:spacing w:line="560" w:lineRule="exact"/>
        <w:ind w:firstLine="643" w:firstLineChars="200"/>
        <w:rPr>
          <w:rFonts w:ascii="仿宋" w:hAnsi="仿宋" w:eastAsia="仿宋" w:cs="仿宋"/>
          <w:b/>
          <w:bCs/>
          <w:sz w:val="32"/>
          <w:szCs w:val="22"/>
        </w:rPr>
      </w:pPr>
      <w:r>
        <w:rPr>
          <w:rFonts w:hint="eastAsia" w:ascii="仿宋" w:hAnsi="仿宋" w:eastAsia="仿宋" w:cs="仿宋"/>
          <w:b/>
          <w:bCs/>
          <w:sz w:val="32"/>
          <w:szCs w:val="22"/>
          <w:lang w:eastAsia="zh-CN"/>
        </w:rPr>
        <w:t>（二）、</w:t>
      </w:r>
      <w:r>
        <w:rPr>
          <w:rFonts w:hint="eastAsia" w:ascii="仿宋" w:hAnsi="仿宋" w:eastAsia="仿宋" w:cs="仿宋"/>
          <w:b/>
          <w:bCs/>
          <w:sz w:val="32"/>
          <w:szCs w:val="22"/>
        </w:rPr>
        <w:t>财政拨款收支与年初预算数对比情况</w:t>
      </w:r>
    </w:p>
    <w:p>
      <w:pPr>
        <w:snapToGrid w:val="0"/>
        <w:spacing w:line="560" w:lineRule="exact"/>
        <w:ind w:firstLine="640" w:firstLineChars="200"/>
        <w:rPr>
          <w:rFonts w:hint="eastAsia" w:ascii="仿宋" w:hAnsi="仿宋" w:eastAsia="仿宋" w:cs="仿宋"/>
          <w:sz w:val="32"/>
        </w:rPr>
      </w:pPr>
      <w:r>
        <w:rPr>
          <w:rFonts w:hint="eastAsia" w:ascii="仿宋" w:hAnsi="仿宋" w:eastAsia="仿宋" w:cs="仿宋"/>
          <w:sz w:val="32"/>
          <w:szCs w:val="32"/>
        </w:rPr>
        <w:t>霸州市城乡规划局部门2018年财政拨款收入决算总计3007.58万元，较年初预算增加1288.30万元，</w:t>
      </w:r>
      <w:r>
        <w:rPr>
          <w:rFonts w:hint="eastAsia" w:ascii="仿宋" w:hAnsi="仿宋" w:eastAsia="仿宋" w:cs="仿宋"/>
          <w:sz w:val="32"/>
        </w:rPr>
        <w:t>增长74.93%，主要原因是</w:t>
      </w:r>
      <w:r>
        <w:rPr>
          <w:rFonts w:hint="eastAsia" w:ascii="仿宋" w:hAnsi="仿宋" w:eastAsia="仿宋" w:cs="仿宋"/>
          <w:sz w:val="32"/>
          <w:szCs w:val="32"/>
        </w:rPr>
        <w:t>项目经费增加</w:t>
      </w:r>
      <w:r>
        <w:rPr>
          <w:rFonts w:hint="eastAsia" w:ascii="仿宋" w:hAnsi="仿宋" w:eastAsia="仿宋" w:cs="仿宋"/>
          <w:sz w:val="32"/>
        </w:rPr>
        <w:t>。</w:t>
      </w:r>
    </w:p>
    <w:p>
      <w:pPr>
        <w:snapToGrid w:val="0"/>
        <w:spacing w:line="560" w:lineRule="exact"/>
        <w:ind w:firstLine="640" w:firstLineChars="200"/>
        <w:rPr>
          <w:rFonts w:hint="eastAsia" w:ascii="仿宋" w:hAnsi="仿宋" w:eastAsia="仿宋" w:cs="仿宋"/>
          <w:color w:val="auto"/>
          <w:sz w:val="32"/>
        </w:rPr>
      </w:pPr>
      <w:r>
        <w:rPr>
          <w:rFonts w:hint="eastAsia" w:ascii="仿宋" w:hAnsi="仿宋" w:eastAsia="仿宋" w:cs="仿宋"/>
          <w:sz w:val="32"/>
          <w:szCs w:val="32"/>
        </w:rPr>
        <w:t>其中</w:t>
      </w:r>
      <w:r>
        <w:rPr>
          <w:rFonts w:hint="eastAsia" w:ascii="仿宋" w:hAnsi="仿宋" w:eastAsia="仿宋" w:cs="仿宋"/>
          <w:sz w:val="32"/>
          <w:szCs w:val="32"/>
          <w:lang w:eastAsia="zh-CN"/>
        </w:rPr>
        <w:t>：</w:t>
      </w:r>
      <w:r>
        <w:rPr>
          <w:rFonts w:hint="eastAsia" w:ascii="仿宋" w:hAnsi="仿宋" w:eastAsia="仿宋" w:cs="仿宋"/>
          <w:sz w:val="32"/>
          <w:szCs w:val="32"/>
        </w:rPr>
        <w:t>一般公共预算拨款减少103.07万元，政府性基金预算财政拨款增加1391.37万元。2018年财政拨款支出决算总计3020.95万元，较年初预算增加1301.67万元，</w:t>
      </w:r>
      <w:r>
        <w:rPr>
          <w:rFonts w:hint="eastAsia" w:ascii="仿宋" w:hAnsi="仿宋" w:eastAsia="仿宋" w:cs="仿宋"/>
          <w:sz w:val="32"/>
        </w:rPr>
        <w:t>增长75.71%，主要原因是</w:t>
      </w:r>
      <w:r>
        <w:rPr>
          <w:rFonts w:hint="eastAsia" w:ascii="仿宋" w:hAnsi="仿宋" w:eastAsia="仿宋" w:cs="仿宋"/>
          <w:sz w:val="32"/>
          <w:szCs w:val="32"/>
        </w:rPr>
        <w:t>项目经费的增加</w:t>
      </w:r>
      <w:r>
        <w:rPr>
          <w:rFonts w:hint="eastAsia" w:ascii="仿宋" w:hAnsi="仿宋" w:eastAsia="仿宋" w:cs="仿宋"/>
          <w:sz w:val="32"/>
        </w:rPr>
        <w:t>。</w:t>
      </w:r>
      <w:r>
        <w:rPr>
          <w:rFonts w:hint="eastAsia" w:ascii="仿宋" w:hAnsi="仿宋" w:eastAsia="仿宋" w:cs="仿宋"/>
          <w:sz w:val="32"/>
          <w:szCs w:val="32"/>
        </w:rPr>
        <w:t>其中基本支</w:t>
      </w:r>
      <w:r>
        <w:rPr>
          <w:rFonts w:hint="eastAsia" w:ascii="仿宋" w:hAnsi="仿宋" w:eastAsia="仿宋" w:cs="仿宋"/>
          <w:color w:val="auto"/>
          <w:sz w:val="32"/>
          <w:szCs w:val="32"/>
        </w:rPr>
        <w:t>出减少89.70万元，项目支出增加1391.37万元</w:t>
      </w:r>
      <w:r>
        <w:rPr>
          <w:rFonts w:hint="eastAsia" w:ascii="仿宋" w:hAnsi="仿宋" w:eastAsia="仿宋" w:cs="仿宋"/>
          <w:color w:val="auto"/>
          <w:sz w:val="32"/>
        </w:rPr>
        <w:t>。</w:t>
      </w:r>
    </w:p>
    <w:p>
      <w:pPr>
        <w:snapToGrid w:val="0"/>
        <w:spacing w:line="560" w:lineRule="exact"/>
        <w:ind w:firstLine="640" w:firstLineChars="200"/>
        <w:rPr>
          <w:rFonts w:hint="eastAsia" w:ascii="仿宋" w:hAnsi="仿宋" w:eastAsia="仿宋" w:cs="仿宋"/>
          <w:color w:val="auto"/>
          <w:sz w:val="32"/>
        </w:rPr>
      </w:pPr>
    </w:p>
    <w:p>
      <w:pPr>
        <w:snapToGrid w:val="0"/>
        <w:spacing w:line="560" w:lineRule="exact"/>
        <w:ind w:firstLine="640" w:firstLineChars="200"/>
        <w:rPr>
          <w:rFonts w:hint="eastAsia" w:ascii="仿宋" w:hAnsi="仿宋" w:eastAsia="仿宋" w:cs="仿宋"/>
          <w:color w:val="auto"/>
          <w:sz w:val="32"/>
        </w:rPr>
      </w:pPr>
    </w:p>
    <w:tbl>
      <w:tblPr>
        <w:tblStyle w:val="6"/>
        <w:tblW w:w="9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74"/>
        <w:gridCol w:w="1538"/>
        <w:gridCol w:w="1013"/>
        <w:gridCol w:w="1539"/>
        <w:gridCol w:w="1013"/>
        <w:gridCol w:w="1013"/>
        <w:gridCol w:w="1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6" w:hRule="atLeast"/>
        </w:trPr>
        <w:tc>
          <w:tcPr>
            <w:tcW w:w="914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表4：财政拨款收支预决算对比情况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2" w:hRule="atLeast"/>
        </w:trPr>
        <w:tc>
          <w:tcPr>
            <w:tcW w:w="18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项目</w:t>
            </w:r>
          </w:p>
        </w:tc>
        <w:tc>
          <w:tcPr>
            <w:tcW w:w="40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财政拨款收入</w:t>
            </w:r>
          </w:p>
        </w:tc>
        <w:tc>
          <w:tcPr>
            <w:tcW w:w="3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6" w:hRule="atLeast"/>
        </w:trPr>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0"/>
                <w:szCs w:val="20"/>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小计</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一般公共预算财政拨款收入</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政府性基金预算财政拨款收入</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小计</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一般公共预算财政拨款支出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9"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年初预算数（万元）</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1719.28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641.28</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1078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1719.28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641.28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6" w:hRule="atLeast"/>
        </w:trPr>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决算数（万元）</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3007.58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538.21</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2469.37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3020.95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551.58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2469.37</w:t>
            </w:r>
          </w:p>
        </w:tc>
      </w:tr>
    </w:tbl>
    <w:p>
      <w:pPr>
        <w:snapToGrid w:val="0"/>
        <w:spacing w:line="560" w:lineRule="exact"/>
        <w:ind w:firstLine="640" w:firstLineChars="200"/>
        <w:rPr>
          <w:rFonts w:hint="eastAsia" w:ascii="仿宋" w:hAnsi="仿宋" w:eastAsia="仿宋" w:cs="仿宋"/>
          <w:color w:val="auto"/>
          <w:sz w:val="32"/>
        </w:rPr>
      </w:pPr>
    </w:p>
    <w:p>
      <w:pPr>
        <w:numPr>
          <w:ilvl w:val="0"/>
          <w:numId w:val="0"/>
        </w:numPr>
        <w:adjustRightInd w:val="0"/>
        <w:snapToGrid w:val="0"/>
        <w:spacing w:after="0" w:line="580" w:lineRule="exact"/>
        <w:ind w:leftChars="0" w:firstLine="643" w:firstLineChars="200"/>
        <w:rPr>
          <w:rFonts w:ascii="楷体_GB2312" w:eastAsia="楷体_GB2312" w:cs="DengXian-Bold"/>
          <w:b/>
          <w:bCs/>
          <w:color w:val="auto"/>
          <w:sz w:val="32"/>
          <w:szCs w:val="32"/>
        </w:rPr>
      </w:pPr>
      <w:r>
        <w:rPr>
          <w:rFonts w:hint="eastAsia" w:ascii="楷体_GB2312" w:eastAsia="楷体_GB2312" w:cs="DengXian-Bold"/>
          <w:b/>
          <w:bCs/>
          <w:color w:val="auto"/>
          <w:sz w:val="32"/>
          <w:szCs w:val="32"/>
          <w:lang w:eastAsia="zh-CN"/>
        </w:rPr>
        <w:t>（三）</w:t>
      </w:r>
      <w:r>
        <w:rPr>
          <w:rFonts w:hint="eastAsia" w:ascii="楷体_GB2312" w:eastAsia="楷体_GB2312" w:cs="DengXian-Bold"/>
          <w:b/>
          <w:bCs/>
          <w:color w:val="auto"/>
          <w:sz w:val="32"/>
          <w:szCs w:val="32"/>
        </w:rPr>
        <w:t>财政拨款支出决算结构情况。</w:t>
      </w:r>
    </w:p>
    <w:p>
      <w:pPr>
        <w:adjustRightInd w:val="0"/>
        <w:snapToGrid w:val="0"/>
        <w:spacing w:after="0" w:line="580" w:lineRule="exact"/>
        <w:ind w:firstLine="640" w:firstLineChars="200"/>
        <w:rPr>
          <w:rFonts w:hint="eastAsia" w:ascii="仿宋_GB2312" w:eastAsia="仿宋_GB2312" w:cs="DengXian-Regular"/>
          <w:color w:val="auto"/>
          <w:sz w:val="32"/>
          <w:szCs w:val="32"/>
        </w:rPr>
      </w:pPr>
      <w:r>
        <w:rPr>
          <w:rFonts w:hint="eastAsia" w:ascii="仿宋_GB2312" w:eastAsia="仿宋_GB2312" w:cs="DengXian-Regular"/>
          <w:color w:val="auto"/>
          <w:sz w:val="32"/>
          <w:szCs w:val="32"/>
        </w:rPr>
        <w:t>2018 年度财政拨款支出</w:t>
      </w:r>
      <w:r>
        <w:rPr>
          <w:rFonts w:hint="eastAsia" w:ascii="仿宋_GB2312" w:eastAsia="仿宋_GB2312" w:cs="DengXian-Regular"/>
          <w:color w:val="auto"/>
          <w:sz w:val="32"/>
          <w:szCs w:val="32"/>
          <w:lang w:val="en-US" w:eastAsia="zh-CN"/>
        </w:rPr>
        <w:t>3020.95</w:t>
      </w:r>
      <w:r>
        <w:rPr>
          <w:rFonts w:hint="eastAsia" w:ascii="仿宋_GB2312" w:eastAsia="仿宋_GB2312" w:cs="DengXian-Regular"/>
          <w:color w:val="auto"/>
          <w:sz w:val="32"/>
          <w:szCs w:val="32"/>
        </w:rPr>
        <w:t>万元，主要用于以下方面</w:t>
      </w:r>
      <w:r>
        <w:rPr>
          <w:rFonts w:hint="eastAsia" w:ascii="仿宋_GB2312" w:eastAsia="仿宋_GB2312" w:cs="DengXian-Regular"/>
          <w:color w:val="auto"/>
          <w:sz w:val="32"/>
          <w:szCs w:val="32"/>
          <w:lang w:eastAsia="zh-CN"/>
        </w:rPr>
        <w:t>城乡社区规划与管理支出</w:t>
      </w:r>
      <w:r>
        <w:rPr>
          <w:rFonts w:hint="eastAsia" w:ascii="仿宋_GB2312" w:eastAsia="仿宋_GB2312" w:cs="DengXian-Regular"/>
          <w:color w:val="auto"/>
          <w:sz w:val="32"/>
          <w:szCs w:val="32"/>
          <w:lang w:val="en-US" w:eastAsia="zh-CN"/>
        </w:rPr>
        <w:t>551.58</w:t>
      </w:r>
      <w:r>
        <w:rPr>
          <w:rFonts w:hint="eastAsia" w:ascii="仿宋_GB2312" w:eastAsia="仿宋_GB2312" w:cs="DengXian-Regular"/>
          <w:color w:val="auto"/>
          <w:sz w:val="32"/>
          <w:szCs w:val="32"/>
        </w:rPr>
        <w:t>万元，占</w:t>
      </w:r>
      <w:r>
        <w:rPr>
          <w:rFonts w:hint="eastAsia" w:ascii="仿宋_GB2312" w:eastAsia="仿宋_GB2312" w:cs="DengXian-Regular"/>
          <w:color w:val="auto"/>
          <w:sz w:val="32"/>
          <w:szCs w:val="32"/>
          <w:lang w:val="en-US" w:eastAsia="zh-CN"/>
        </w:rPr>
        <w:t>18.26</w:t>
      </w:r>
      <w:r>
        <w:rPr>
          <w:rFonts w:hint="eastAsia" w:ascii="仿宋_GB2312" w:eastAsia="仿宋_GB2312" w:cs="DengXian-Regular"/>
          <w:color w:val="auto"/>
          <w:sz w:val="32"/>
          <w:szCs w:val="32"/>
        </w:rPr>
        <w:t>%；</w:t>
      </w:r>
      <w:r>
        <w:rPr>
          <w:rFonts w:hint="eastAsia" w:ascii="仿宋_GB2312" w:eastAsia="仿宋_GB2312" w:cs="DengXian-Regular"/>
          <w:color w:val="auto"/>
          <w:sz w:val="32"/>
          <w:szCs w:val="32"/>
          <w:lang w:eastAsia="zh-CN"/>
        </w:rPr>
        <w:t>城市基础设施配套费及对应专项债务收入安排的支出</w:t>
      </w:r>
      <w:r>
        <w:rPr>
          <w:rFonts w:hint="eastAsia" w:ascii="仿宋_GB2312" w:eastAsia="仿宋_GB2312" w:cs="DengXian-Regular"/>
          <w:color w:val="auto"/>
          <w:sz w:val="32"/>
          <w:szCs w:val="32"/>
          <w:lang w:val="en-US" w:eastAsia="zh-CN"/>
        </w:rPr>
        <w:t>2469.37</w:t>
      </w:r>
      <w:r>
        <w:rPr>
          <w:rFonts w:hint="eastAsia" w:ascii="仿宋_GB2312" w:eastAsia="仿宋_GB2312" w:cs="DengXian-Regular"/>
          <w:color w:val="auto"/>
          <w:sz w:val="32"/>
          <w:szCs w:val="32"/>
        </w:rPr>
        <w:t>万元，占</w:t>
      </w:r>
      <w:r>
        <w:rPr>
          <w:rFonts w:hint="eastAsia" w:ascii="仿宋_GB2312" w:eastAsia="仿宋_GB2312" w:cs="DengXian-Regular"/>
          <w:color w:val="auto"/>
          <w:sz w:val="32"/>
          <w:szCs w:val="32"/>
          <w:lang w:val="en-US" w:eastAsia="zh-CN"/>
        </w:rPr>
        <w:t>81.74</w:t>
      </w:r>
      <w:r>
        <w:rPr>
          <w:rFonts w:hint="eastAsia" w:ascii="仿宋_GB2312" w:eastAsia="仿宋_GB2312" w:cs="DengXian-Regular"/>
          <w:color w:val="auto"/>
          <w:sz w:val="32"/>
          <w:szCs w:val="32"/>
        </w:rPr>
        <w:t>%</w:t>
      </w:r>
      <w:r>
        <w:rPr>
          <w:rFonts w:hint="eastAsia" w:ascii="仿宋_GB2312" w:eastAsia="仿宋_GB2312" w:cs="DengXian-Regular"/>
          <w:color w:val="auto"/>
          <w:sz w:val="32"/>
          <w:szCs w:val="32"/>
          <w:lang w:eastAsia="zh-CN"/>
        </w:rPr>
        <w:t>。</w:t>
      </w:r>
    </w:p>
    <w:p>
      <w:pPr>
        <w:adjustRightInd w:val="0"/>
        <w:snapToGrid w:val="0"/>
        <w:spacing w:after="0" w:line="580" w:lineRule="exact"/>
        <w:ind w:firstLine="640" w:firstLineChars="200"/>
        <w:rPr>
          <w:rFonts w:hint="eastAsia" w:ascii="仿宋_GB2312" w:eastAsia="仿宋_GB2312" w:cs="DengXian-Regular"/>
          <w:color w:val="auto"/>
          <w:sz w:val="32"/>
          <w:szCs w:val="32"/>
        </w:rPr>
      </w:pPr>
    </w:p>
    <w:tbl>
      <w:tblPr>
        <w:tblStyle w:val="6"/>
        <w:tblW w:w="84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55"/>
        <w:gridCol w:w="1882"/>
        <w:gridCol w:w="1882"/>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656"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项目</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color w:val="auto"/>
                <w:sz w:val="20"/>
                <w:szCs w:val="20"/>
                <w:lang w:eastAsia="zh-CN"/>
              </w:rPr>
              <w:t>城乡社区规划与管理支出</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u w:val="none"/>
              </w:rPr>
            </w:pPr>
            <w:r>
              <w:rPr>
                <w:rFonts w:hint="eastAsia" w:asciiTheme="minorEastAsia" w:hAnsiTheme="minorEastAsia" w:eastAsiaTheme="minorEastAsia" w:cstheme="minorEastAsia"/>
                <w:color w:val="auto"/>
                <w:sz w:val="20"/>
                <w:szCs w:val="20"/>
                <w:lang w:eastAsia="zh-CN"/>
              </w:rPr>
              <w:t>城市基础设施配套费及对应专项债务收入安排的支出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2"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金额（万元）</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551.58</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2469.37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占比（%）</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18.26</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81.74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4"/>
                <w:szCs w:val="24"/>
                <w:u w:val="none"/>
              </w:rPr>
            </w:pPr>
          </w:p>
        </w:tc>
      </w:tr>
    </w:tbl>
    <w:p>
      <w:pPr>
        <w:adjustRightInd w:val="0"/>
        <w:snapToGrid w:val="0"/>
        <w:spacing w:after="0" w:line="580" w:lineRule="exact"/>
        <w:ind w:left="420" w:leftChars="200"/>
        <w:rPr>
          <w:rFonts w:hint="eastAsia" w:ascii="仿宋_GB2312" w:eastAsia="仿宋_GB2312" w:cs="DengXian-Regular"/>
          <w:color w:val="auto"/>
          <w:sz w:val="32"/>
          <w:szCs w:val="32"/>
          <w:highlight w:val="yellow"/>
          <w:lang w:eastAsia="zh-CN"/>
        </w:rPr>
      </w:pPr>
    </w:p>
    <w:p>
      <w:pPr>
        <w:snapToGrid w:val="0"/>
        <w:spacing w:line="560" w:lineRule="exact"/>
        <w:ind w:firstLine="640" w:firstLineChars="200"/>
        <w:rPr>
          <w:rFonts w:hint="eastAsia" w:ascii="仿宋" w:hAnsi="仿宋" w:eastAsia="仿宋" w:cs="仿宋"/>
          <w:color w:val="auto"/>
          <w:sz w:val="32"/>
        </w:rPr>
      </w:pPr>
    </w:p>
    <w:p>
      <w:pPr>
        <w:pStyle w:val="2"/>
        <w:numPr>
          <w:ilvl w:val="0"/>
          <w:numId w:val="2"/>
        </w:numPr>
        <w:spacing w:before="0" w:after="0" w:line="58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color w:val="auto"/>
          <w:sz w:val="32"/>
          <w:szCs w:val="32"/>
        </w:rPr>
        <w:t>2018 年度一般公共预算财政拨款基本支出</w:t>
      </w:r>
      <w:r>
        <w:rPr>
          <w:rFonts w:hint="eastAsia" w:ascii="仿宋_GB2312" w:eastAsia="仿宋_GB2312" w:cs="DengXian-Regular"/>
          <w:color w:val="auto"/>
          <w:sz w:val="32"/>
          <w:szCs w:val="32"/>
          <w:lang w:val="en-US" w:eastAsia="zh-CN"/>
        </w:rPr>
        <w:t>551.58</w:t>
      </w:r>
      <w:r>
        <w:rPr>
          <w:rFonts w:hint="eastAsia" w:ascii="仿宋_GB2312" w:eastAsia="仿宋_GB2312" w:cs="DengXian-Regular"/>
          <w:color w:val="auto"/>
          <w:sz w:val="32"/>
          <w:szCs w:val="32"/>
        </w:rPr>
        <w:t>万元，其中：人员经费</w:t>
      </w:r>
      <w:r>
        <w:rPr>
          <w:rFonts w:hint="eastAsia" w:ascii="仿宋_GB2312" w:eastAsia="仿宋_GB2312" w:cs="DengXian-Regular"/>
          <w:color w:val="auto"/>
          <w:sz w:val="32"/>
          <w:szCs w:val="32"/>
          <w:lang w:val="en-US" w:eastAsia="zh-CN"/>
        </w:rPr>
        <w:t>481.54</w:t>
      </w:r>
      <w:r>
        <w:rPr>
          <w:rFonts w:hint="eastAsia" w:ascii="仿宋_GB2312" w:eastAsia="仿宋_GB2312" w:cs="DengXian-Regular"/>
          <w:color w:val="auto"/>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color w:val="auto"/>
          <w:sz w:val="32"/>
          <w:szCs w:val="32"/>
          <w:lang w:val="en-US" w:eastAsia="zh-CN"/>
        </w:rPr>
        <w:t>70.05</w:t>
      </w:r>
      <w:r>
        <w:rPr>
          <w:rFonts w:hint="eastAsia" w:ascii="仿宋_GB2312" w:eastAsia="仿宋_GB2312" w:cs="DengXian-Regular"/>
          <w:color w:val="auto"/>
          <w:sz w:val="32"/>
          <w:szCs w:val="32"/>
        </w:rPr>
        <w:t>万元，主要包括办公费、印刷费、咨询费、手续费、水费、电费、邮电费、</w:t>
      </w:r>
      <w:r>
        <w:rPr>
          <w:rFonts w:hint="eastAsia" w:ascii="仿宋_GB2312" w:eastAsia="仿宋_GB2312" w:cs="DengXian-Regular"/>
          <w:sz w:val="32"/>
          <w:szCs w:val="32"/>
        </w:rPr>
        <w:t>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numPr>
          <w:ilvl w:val="0"/>
          <w:numId w:val="0"/>
        </w:numPr>
        <w:rPr>
          <w:rFonts w:hint="eastAsia"/>
        </w:rPr>
      </w:pPr>
    </w:p>
    <w:p>
      <w:pPr>
        <w:pStyle w:val="2"/>
        <w:spacing w:before="0" w:after="0" w:line="580" w:lineRule="exact"/>
        <w:ind w:firstLine="640" w:firstLineChars="200"/>
        <w:rPr>
          <w:rFonts w:hint="eastAsia"/>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color w:val="auto"/>
          <w:sz w:val="32"/>
          <w:szCs w:val="32"/>
          <w:highlight w:val="yellow"/>
        </w:rPr>
      </w:pPr>
      <w:r>
        <w:rPr>
          <w:rFonts w:eastAsia="仿宋_GB2312"/>
          <w:color w:val="auto"/>
          <w:sz w:val="32"/>
          <w:szCs w:val="32"/>
        </w:rPr>
        <w:t>本部门201</w:t>
      </w:r>
      <w:r>
        <w:rPr>
          <w:rFonts w:hint="eastAsia" w:eastAsia="仿宋_GB2312"/>
          <w:color w:val="auto"/>
          <w:sz w:val="32"/>
          <w:szCs w:val="32"/>
        </w:rPr>
        <w:t>8</w:t>
      </w:r>
      <w:r>
        <w:rPr>
          <w:rFonts w:eastAsia="仿宋_GB2312"/>
          <w:color w:val="auto"/>
          <w:sz w:val="32"/>
          <w:szCs w:val="32"/>
        </w:rPr>
        <w:t>年度一般公共预算财政拨款“三公”经费支出共计</w:t>
      </w:r>
      <w:r>
        <w:rPr>
          <w:rFonts w:hint="eastAsia" w:eastAsia="仿宋_GB2312"/>
          <w:color w:val="auto"/>
          <w:sz w:val="32"/>
          <w:szCs w:val="32"/>
          <w:lang w:val="en-US" w:eastAsia="zh-CN"/>
        </w:rPr>
        <w:t>1.28</w:t>
      </w:r>
      <w:r>
        <w:rPr>
          <w:rFonts w:eastAsia="仿宋_GB2312"/>
          <w:color w:val="auto"/>
          <w:sz w:val="32"/>
          <w:szCs w:val="32"/>
        </w:rPr>
        <w:t>万元，</w:t>
      </w:r>
      <w:r>
        <w:rPr>
          <w:rFonts w:hint="eastAsia" w:eastAsia="仿宋_GB2312"/>
          <w:color w:val="auto"/>
          <w:sz w:val="32"/>
          <w:szCs w:val="32"/>
        </w:rPr>
        <w:t>比</w:t>
      </w:r>
      <w:r>
        <w:rPr>
          <w:rFonts w:eastAsia="仿宋_GB2312"/>
          <w:color w:val="auto"/>
          <w:sz w:val="32"/>
          <w:szCs w:val="32"/>
        </w:rPr>
        <w:t>年初预算减少</w:t>
      </w:r>
      <w:r>
        <w:rPr>
          <w:rFonts w:hint="eastAsia" w:eastAsia="仿宋_GB2312"/>
          <w:color w:val="auto"/>
          <w:sz w:val="32"/>
          <w:szCs w:val="32"/>
          <w:lang w:val="en-US" w:eastAsia="zh-CN"/>
        </w:rPr>
        <w:t>1.64</w:t>
      </w:r>
      <w:r>
        <w:rPr>
          <w:rFonts w:eastAsia="仿宋_GB2312"/>
          <w:color w:val="auto"/>
          <w:sz w:val="32"/>
          <w:szCs w:val="32"/>
        </w:rPr>
        <w:t>万元，降低</w:t>
      </w:r>
      <w:r>
        <w:rPr>
          <w:rFonts w:hint="eastAsia" w:eastAsia="仿宋_GB2312"/>
          <w:color w:val="auto"/>
          <w:sz w:val="32"/>
          <w:szCs w:val="32"/>
          <w:lang w:val="en-US" w:eastAsia="zh-CN"/>
        </w:rPr>
        <w:t>56.16</w:t>
      </w:r>
      <w:r>
        <w:rPr>
          <w:rFonts w:eastAsia="仿宋_GB2312"/>
          <w:color w:val="auto"/>
          <w:sz w:val="32"/>
          <w:szCs w:val="32"/>
        </w:rPr>
        <w:t>%，主要是</w:t>
      </w:r>
      <w:r>
        <w:rPr>
          <w:rFonts w:hint="eastAsia" w:eastAsia="仿宋_GB2312"/>
          <w:color w:val="auto"/>
          <w:sz w:val="32"/>
          <w:szCs w:val="32"/>
          <w:lang w:eastAsia="zh-CN"/>
        </w:rPr>
        <w:t>我单位厉行节约，严控三公经费支出</w:t>
      </w:r>
      <w:r>
        <w:rPr>
          <w:rFonts w:eastAsia="仿宋_GB2312"/>
          <w:color w:val="auto"/>
          <w:sz w:val="32"/>
          <w:szCs w:val="32"/>
        </w:rPr>
        <w:t>；</w:t>
      </w:r>
      <w:r>
        <w:rPr>
          <w:rFonts w:hint="eastAsia" w:eastAsia="仿宋_GB2312"/>
          <w:color w:val="auto"/>
          <w:sz w:val="32"/>
          <w:szCs w:val="32"/>
        </w:rPr>
        <w:t>比</w:t>
      </w:r>
      <w:r>
        <w:rPr>
          <w:rFonts w:eastAsia="仿宋_GB2312"/>
          <w:color w:val="auto"/>
          <w:sz w:val="32"/>
          <w:szCs w:val="32"/>
        </w:rPr>
        <w:t>201</w:t>
      </w:r>
      <w:r>
        <w:rPr>
          <w:rFonts w:hint="eastAsia" w:eastAsia="仿宋_GB2312"/>
          <w:color w:val="auto"/>
          <w:sz w:val="32"/>
          <w:szCs w:val="32"/>
        </w:rPr>
        <w:t>7</w:t>
      </w:r>
      <w:r>
        <w:rPr>
          <w:rFonts w:eastAsia="仿宋_GB2312"/>
          <w:color w:val="auto"/>
          <w:sz w:val="32"/>
          <w:szCs w:val="32"/>
        </w:rPr>
        <w:t>年度决算减少</w:t>
      </w:r>
      <w:r>
        <w:rPr>
          <w:rFonts w:hint="eastAsia" w:eastAsia="仿宋_GB2312"/>
          <w:color w:val="auto"/>
          <w:sz w:val="32"/>
          <w:szCs w:val="32"/>
          <w:lang w:val="en-US" w:eastAsia="zh-CN"/>
        </w:rPr>
        <w:t>1.22</w:t>
      </w:r>
      <w:r>
        <w:rPr>
          <w:rFonts w:eastAsia="仿宋_GB2312"/>
          <w:color w:val="auto"/>
          <w:sz w:val="32"/>
          <w:szCs w:val="32"/>
        </w:rPr>
        <w:t>万元，降低</w:t>
      </w:r>
      <w:r>
        <w:rPr>
          <w:rFonts w:hint="eastAsia" w:eastAsia="仿宋_GB2312"/>
          <w:color w:val="auto"/>
          <w:sz w:val="32"/>
          <w:szCs w:val="32"/>
          <w:lang w:val="en-US" w:eastAsia="zh-CN"/>
        </w:rPr>
        <w:t>48.8</w:t>
      </w:r>
      <w:r>
        <w:rPr>
          <w:rFonts w:eastAsia="仿宋_GB2312"/>
          <w:color w:val="auto"/>
          <w:sz w:val="32"/>
          <w:szCs w:val="32"/>
        </w:rPr>
        <w:t>%，主要是</w:t>
      </w:r>
      <w:r>
        <w:rPr>
          <w:rFonts w:hint="eastAsia" w:eastAsia="仿宋_GB2312"/>
          <w:color w:val="auto"/>
          <w:sz w:val="32"/>
          <w:szCs w:val="32"/>
          <w:lang w:eastAsia="zh-CN"/>
        </w:rPr>
        <w:t>我单位厉行节约，严控三公经费支出</w:t>
      </w:r>
      <w:r>
        <w:rPr>
          <w:rFonts w:eastAsia="仿宋_GB2312"/>
          <w:color w:val="auto"/>
          <w:sz w:val="32"/>
          <w:szCs w:val="32"/>
        </w:rPr>
        <w:t>。具体情况如下：</w:t>
      </w:r>
    </w:p>
    <w:p>
      <w:pPr>
        <w:adjustRightInd w:val="0"/>
        <w:snapToGrid w:val="0"/>
        <w:spacing w:line="584" w:lineRule="exact"/>
        <w:ind w:firstLine="643" w:firstLineChars="200"/>
        <w:rPr>
          <w:rFonts w:hint="eastAsia" w:ascii="仿宋_GB2312" w:eastAsia="仿宋_GB2312" w:cs="DengXian-Regular"/>
          <w:sz w:val="32"/>
          <w:szCs w:val="32"/>
          <w:lang w:val="en-US" w:eastAsia="zh-CN"/>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无增减变化</w:t>
      </w:r>
      <w:r>
        <w:rPr>
          <w:rFonts w:eastAsia="仿宋_GB2312"/>
          <w:sz w:val="32"/>
          <w:szCs w:val="32"/>
        </w:rPr>
        <w:t>。</w:t>
      </w:r>
    </w:p>
    <w:p>
      <w:pPr>
        <w:numPr>
          <w:ilvl w:val="0"/>
          <w:numId w:val="0"/>
        </w:numPr>
        <w:adjustRightInd w:val="0"/>
        <w:snapToGrid w:val="0"/>
        <w:spacing w:line="584" w:lineRule="exact"/>
        <w:ind w:firstLine="643" w:firstLineChars="200"/>
        <w:rPr>
          <w:rFonts w:eastAsia="仿宋_GB2312"/>
          <w:b/>
          <w:bCs/>
          <w:color w:val="auto"/>
          <w:sz w:val="32"/>
          <w:szCs w:val="32"/>
        </w:rPr>
      </w:pPr>
      <w:r>
        <w:rPr>
          <w:rFonts w:hint="eastAsia" w:eastAsia="楷体_GB2312"/>
          <w:b/>
          <w:bCs/>
          <w:color w:val="auto"/>
          <w:sz w:val="32"/>
          <w:szCs w:val="32"/>
          <w:lang w:val="en-US" w:eastAsia="zh-CN"/>
        </w:rPr>
        <w:t>（二）</w:t>
      </w:r>
      <w:r>
        <w:rPr>
          <w:rFonts w:eastAsia="楷体_GB2312"/>
          <w:b/>
          <w:bCs/>
          <w:color w:val="auto"/>
          <w:sz w:val="32"/>
          <w:szCs w:val="32"/>
        </w:rPr>
        <w:t>公务用车购置及运行维护费支出</w:t>
      </w:r>
      <w:r>
        <w:rPr>
          <w:rFonts w:hint="eastAsia" w:eastAsia="楷体_GB2312"/>
          <w:b/>
          <w:bCs/>
          <w:color w:val="auto"/>
          <w:sz w:val="32"/>
          <w:szCs w:val="32"/>
          <w:lang w:val="en-US" w:eastAsia="zh-CN"/>
        </w:rPr>
        <w:t>1.28</w:t>
      </w:r>
      <w:r>
        <w:rPr>
          <w:rFonts w:eastAsia="楷体_GB2312"/>
          <w:b/>
          <w:bCs/>
          <w:color w:val="auto"/>
          <w:sz w:val="32"/>
          <w:szCs w:val="32"/>
        </w:rPr>
        <w:t>万元。</w:t>
      </w:r>
      <w:r>
        <w:rPr>
          <w:rFonts w:hint="eastAsia" w:ascii="仿宋_GB2312" w:eastAsia="仿宋_GB2312" w:cs="DengXian-Regular"/>
          <w:color w:val="auto"/>
          <w:sz w:val="32"/>
          <w:szCs w:val="32"/>
        </w:rPr>
        <w:t>本部门2018年度公务用车购置及运行维护费比年初预算</w:t>
      </w:r>
      <w:r>
        <w:rPr>
          <w:rFonts w:eastAsia="仿宋_GB2312"/>
          <w:color w:val="auto"/>
          <w:sz w:val="32"/>
          <w:szCs w:val="32"/>
        </w:rPr>
        <w:t>减少</w:t>
      </w:r>
      <w:r>
        <w:rPr>
          <w:rFonts w:hint="eastAsia" w:eastAsia="仿宋_GB2312"/>
          <w:color w:val="auto"/>
          <w:sz w:val="32"/>
          <w:szCs w:val="32"/>
          <w:lang w:val="en-US" w:eastAsia="zh-CN"/>
        </w:rPr>
        <w:t>1.22</w:t>
      </w:r>
      <w:r>
        <w:rPr>
          <w:rFonts w:eastAsia="仿宋_GB2312"/>
          <w:color w:val="auto"/>
          <w:sz w:val="32"/>
          <w:szCs w:val="32"/>
        </w:rPr>
        <w:t>万元</w:t>
      </w:r>
      <w:r>
        <w:rPr>
          <w:rFonts w:hint="eastAsia" w:ascii="仿宋_GB2312" w:eastAsia="仿宋_GB2312" w:cs="DengXian-Regular"/>
          <w:color w:val="auto"/>
          <w:sz w:val="32"/>
          <w:szCs w:val="32"/>
        </w:rPr>
        <w:t>，</w:t>
      </w:r>
      <w:r>
        <w:rPr>
          <w:rFonts w:eastAsia="仿宋_GB2312"/>
          <w:color w:val="auto"/>
          <w:sz w:val="32"/>
          <w:szCs w:val="32"/>
        </w:rPr>
        <w:t>降低</w:t>
      </w:r>
      <w:r>
        <w:rPr>
          <w:rFonts w:hint="eastAsia" w:eastAsia="仿宋_GB2312"/>
          <w:color w:val="auto"/>
          <w:sz w:val="32"/>
          <w:szCs w:val="32"/>
          <w:lang w:val="en-US" w:eastAsia="zh-CN"/>
        </w:rPr>
        <w:t>48.8</w:t>
      </w:r>
      <w:r>
        <w:rPr>
          <w:rFonts w:eastAsia="仿宋_GB2312"/>
          <w:color w:val="auto"/>
          <w:sz w:val="32"/>
          <w:szCs w:val="32"/>
        </w:rPr>
        <w:t>%</w:t>
      </w:r>
      <w:r>
        <w:rPr>
          <w:rFonts w:hint="eastAsia" w:ascii="仿宋_GB2312" w:eastAsia="仿宋_GB2312" w:cs="DengXian-Regular"/>
          <w:color w:val="auto"/>
          <w:sz w:val="32"/>
          <w:szCs w:val="32"/>
        </w:rPr>
        <w:t>,主要是</w:t>
      </w:r>
      <w:r>
        <w:rPr>
          <w:rFonts w:hint="eastAsia" w:eastAsia="仿宋_GB2312"/>
          <w:color w:val="auto"/>
          <w:sz w:val="32"/>
          <w:szCs w:val="32"/>
          <w:lang w:eastAsia="zh-CN"/>
        </w:rPr>
        <w:t>我单位厉行节约，严控三公经费支出</w:t>
      </w:r>
      <w:r>
        <w:rPr>
          <w:rFonts w:hint="eastAsia" w:ascii="仿宋_GB2312" w:eastAsia="仿宋_GB2312" w:cs="DengXian-Regular"/>
          <w:color w:val="auto"/>
          <w:sz w:val="32"/>
          <w:szCs w:val="32"/>
        </w:rPr>
        <w:t>；</w:t>
      </w:r>
      <w:r>
        <w:rPr>
          <w:rFonts w:hint="eastAsia" w:eastAsia="仿宋_GB2312"/>
          <w:color w:val="auto"/>
          <w:sz w:val="32"/>
          <w:szCs w:val="32"/>
        </w:rPr>
        <w:t>比</w:t>
      </w:r>
      <w:r>
        <w:rPr>
          <w:rFonts w:eastAsia="仿宋_GB2312"/>
          <w:color w:val="auto"/>
          <w:sz w:val="32"/>
          <w:szCs w:val="32"/>
        </w:rPr>
        <w:t>201</w:t>
      </w:r>
      <w:r>
        <w:rPr>
          <w:rFonts w:hint="eastAsia" w:eastAsia="仿宋_GB2312"/>
          <w:color w:val="auto"/>
          <w:sz w:val="32"/>
          <w:szCs w:val="32"/>
        </w:rPr>
        <w:t>7</w:t>
      </w:r>
      <w:r>
        <w:rPr>
          <w:rFonts w:eastAsia="仿宋_GB2312"/>
          <w:color w:val="auto"/>
          <w:sz w:val="32"/>
          <w:szCs w:val="32"/>
        </w:rPr>
        <w:t>年度决算减少</w:t>
      </w:r>
      <w:r>
        <w:rPr>
          <w:rFonts w:hint="eastAsia" w:eastAsia="仿宋_GB2312"/>
          <w:color w:val="auto"/>
          <w:sz w:val="32"/>
          <w:szCs w:val="32"/>
          <w:lang w:val="en-US" w:eastAsia="zh-CN"/>
        </w:rPr>
        <w:t>1.22</w:t>
      </w:r>
      <w:r>
        <w:rPr>
          <w:rFonts w:eastAsia="仿宋_GB2312"/>
          <w:color w:val="auto"/>
          <w:sz w:val="32"/>
          <w:szCs w:val="32"/>
        </w:rPr>
        <w:t>万元，降低</w:t>
      </w:r>
      <w:r>
        <w:rPr>
          <w:rFonts w:hint="eastAsia" w:eastAsia="仿宋_GB2312"/>
          <w:color w:val="auto"/>
          <w:sz w:val="32"/>
          <w:szCs w:val="32"/>
          <w:lang w:val="en-US" w:eastAsia="zh-CN"/>
        </w:rPr>
        <w:t>48.8</w:t>
      </w:r>
      <w:r>
        <w:rPr>
          <w:rFonts w:eastAsia="仿宋_GB2312"/>
          <w:color w:val="auto"/>
          <w:sz w:val="32"/>
          <w:szCs w:val="32"/>
        </w:rPr>
        <w:t>%，主要是</w:t>
      </w:r>
      <w:r>
        <w:rPr>
          <w:rFonts w:hint="eastAsia" w:eastAsia="仿宋_GB2312"/>
          <w:color w:val="auto"/>
          <w:sz w:val="32"/>
          <w:szCs w:val="32"/>
          <w:lang w:eastAsia="zh-CN"/>
        </w:rPr>
        <w:t>我单位厉行节约，严控三公经费支出</w:t>
      </w:r>
      <w:r>
        <w:rPr>
          <w:rFonts w:eastAsia="仿宋_GB2312"/>
          <w:color w:val="auto"/>
          <w:sz w:val="32"/>
          <w:szCs w:val="32"/>
        </w:rPr>
        <w:t>。</w:t>
      </w:r>
      <w:r>
        <w:rPr>
          <w:rFonts w:eastAsia="仿宋_GB2312"/>
          <w:b/>
          <w:bCs/>
          <w:color w:val="auto"/>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无增减变化</w:t>
      </w:r>
      <w:r>
        <w:rPr>
          <w:rFonts w:eastAsia="仿宋_GB2312"/>
          <w:sz w:val="32"/>
          <w:szCs w:val="32"/>
        </w:rPr>
        <w:t>。</w:t>
      </w:r>
    </w:p>
    <w:p>
      <w:pPr>
        <w:adjustRightInd w:val="0"/>
        <w:snapToGrid w:val="0"/>
        <w:spacing w:line="584" w:lineRule="exact"/>
        <w:ind w:firstLine="643" w:firstLineChars="200"/>
        <w:rPr>
          <w:rFonts w:eastAsia="仿宋_GB2312"/>
          <w:color w:val="auto"/>
          <w:sz w:val="32"/>
          <w:szCs w:val="32"/>
          <w:highlight w:val="yellow"/>
        </w:rPr>
      </w:pPr>
      <w:r>
        <w:rPr>
          <w:rFonts w:eastAsia="仿宋_GB2312"/>
          <w:b/>
          <w:color w:val="auto"/>
          <w:sz w:val="32"/>
          <w:szCs w:val="32"/>
        </w:rPr>
        <w:t>公务用车运行维护费支出</w:t>
      </w:r>
      <w:r>
        <w:rPr>
          <w:rFonts w:hint="eastAsia" w:eastAsia="仿宋_GB2312"/>
          <w:b/>
          <w:color w:val="auto"/>
          <w:sz w:val="32"/>
          <w:szCs w:val="32"/>
          <w:lang w:val="en-US" w:eastAsia="zh-CN"/>
        </w:rPr>
        <w:t>1.28</w:t>
      </w:r>
      <w:r>
        <w:rPr>
          <w:rFonts w:eastAsia="仿宋_GB2312"/>
          <w:b/>
          <w:color w:val="auto"/>
          <w:sz w:val="32"/>
          <w:szCs w:val="32"/>
        </w:rPr>
        <w:t>万元。</w:t>
      </w:r>
      <w:r>
        <w:rPr>
          <w:rFonts w:eastAsia="仿宋_GB2312"/>
          <w:color w:val="auto"/>
          <w:sz w:val="32"/>
          <w:szCs w:val="32"/>
        </w:rPr>
        <w:t>本部门201</w:t>
      </w:r>
      <w:r>
        <w:rPr>
          <w:rFonts w:hint="eastAsia" w:eastAsia="仿宋_GB2312"/>
          <w:color w:val="auto"/>
          <w:sz w:val="32"/>
          <w:szCs w:val="32"/>
        </w:rPr>
        <w:t>8</w:t>
      </w:r>
      <w:r>
        <w:rPr>
          <w:rFonts w:eastAsia="仿宋_GB2312"/>
          <w:color w:val="auto"/>
          <w:sz w:val="32"/>
          <w:szCs w:val="32"/>
        </w:rPr>
        <w:t>年末单位公务用车保有量</w:t>
      </w:r>
      <w:r>
        <w:rPr>
          <w:rFonts w:hint="eastAsia" w:eastAsia="仿宋_GB2312"/>
          <w:color w:val="auto"/>
          <w:sz w:val="32"/>
          <w:szCs w:val="32"/>
          <w:lang w:val="en-US" w:eastAsia="zh-CN"/>
        </w:rPr>
        <w:t>1</w:t>
      </w:r>
      <w:r>
        <w:rPr>
          <w:rFonts w:eastAsia="仿宋_GB2312"/>
          <w:color w:val="auto"/>
          <w:sz w:val="32"/>
          <w:szCs w:val="32"/>
        </w:rPr>
        <w:t>辆。公车运行维护费支出</w:t>
      </w:r>
      <w:r>
        <w:rPr>
          <w:rFonts w:hint="eastAsia" w:eastAsia="仿宋_GB2312"/>
          <w:color w:val="auto"/>
          <w:sz w:val="32"/>
          <w:szCs w:val="32"/>
        </w:rPr>
        <w:t>比</w:t>
      </w:r>
      <w:r>
        <w:rPr>
          <w:rFonts w:eastAsia="仿宋_GB2312"/>
          <w:color w:val="auto"/>
          <w:sz w:val="32"/>
          <w:szCs w:val="32"/>
        </w:rPr>
        <w:t>年初预算减少</w:t>
      </w:r>
      <w:r>
        <w:rPr>
          <w:rFonts w:hint="eastAsia" w:eastAsia="仿宋_GB2312"/>
          <w:color w:val="auto"/>
          <w:sz w:val="32"/>
          <w:szCs w:val="32"/>
          <w:lang w:val="en-US" w:eastAsia="zh-CN"/>
        </w:rPr>
        <w:t>1.22</w:t>
      </w:r>
      <w:r>
        <w:rPr>
          <w:rFonts w:eastAsia="仿宋_GB2312"/>
          <w:color w:val="auto"/>
          <w:sz w:val="32"/>
          <w:szCs w:val="32"/>
        </w:rPr>
        <w:t>万元，降低</w:t>
      </w:r>
      <w:r>
        <w:rPr>
          <w:rFonts w:hint="eastAsia" w:eastAsia="仿宋_GB2312"/>
          <w:color w:val="auto"/>
          <w:sz w:val="32"/>
          <w:szCs w:val="32"/>
          <w:lang w:val="en-US" w:eastAsia="zh-CN"/>
        </w:rPr>
        <w:t>48.8</w:t>
      </w:r>
      <w:r>
        <w:rPr>
          <w:rFonts w:eastAsia="仿宋_GB2312"/>
          <w:color w:val="auto"/>
          <w:sz w:val="32"/>
          <w:szCs w:val="32"/>
        </w:rPr>
        <w:t>%，主要是</w:t>
      </w:r>
      <w:r>
        <w:rPr>
          <w:rFonts w:hint="eastAsia" w:eastAsia="仿宋_GB2312"/>
          <w:color w:val="auto"/>
          <w:sz w:val="32"/>
          <w:szCs w:val="32"/>
          <w:lang w:eastAsia="zh-CN"/>
        </w:rPr>
        <w:t>我单位厉行节约，严控三公经费支出</w:t>
      </w:r>
      <w:r>
        <w:rPr>
          <w:rFonts w:eastAsia="仿宋_GB2312"/>
          <w:color w:val="auto"/>
          <w:sz w:val="32"/>
          <w:szCs w:val="32"/>
        </w:rPr>
        <w:t>；</w:t>
      </w:r>
      <w:r>
        <w:rPr>
          <w:rFonts w:hint="eastAsia" w:eastAsia="仿宋_GB2312"/>
          <w:color w:val="auto"/>
          <w:sz w:val="32"/>
          <w:szCs w:val="32"/>
        </w:rPr>
        <w:t>比</w:t>
      </w:r>
      <w:r>
        <w:rPr>
          <w:rFonts w:eastAsia="仿宋_GB2312"/>
          <w:color w:val="auto"/>
          <w:sz w:val="32"/>
          <w:szCs w:val="32"/>
        </w:rPr>
        <w:t>201</w:t>
      </w:r>
      <w:r>
        <w:rPr>
          <w:rFonts w:hint="eastAsia" w:eastAsia="仿宋_GB2312"/>
          <w:color w:val="auto"/>
          <w:sz w:val="32"/>
          <w:szCs w:val="32"/>
        </w:rPr>
        <w:t>7</w:t>
      </w:r>
      <w:r>
        <w:rPr>
          <w:rFonts w:eastAsia="仿宋_GB2312"/>
          <w:color w:val="auto"/>
          <w:sz w:val="32"/>
          <w:szCs w:val="32"/>
        </w:rPr>
        <w:t>年度决算减少</w:t>
      </w:r>
      <w:r>
        <w:rPr>
          <w:rFonts w:hint="eastAsia" w:eastAsia="仿宋_GB2312"/>
          <w:color w:val="auto"/>
          <w:sz w:val="32"/>
          <w:szCs w:val="32"/>
          <w:lang w:val="en-US" w:eastAsia="zh-CN"/>
        </w:rPr>
        <w:t>1.22</w:t>
      </w:r>
      <w:r>
        <w:rPr>
          <w:rFonts w:eastAsia="仿宋_GB2312"/>
          <w:color w:val="auto"/>
          <w:sz w:val="32"/>
          <w:szCs w:val="32"/>
        </w:rPr>
        <w:t>万元，降低</w:t>
      </w:r>
      <w:r>
        <w:rPr>
          <w:rFonts w:hint="eastAsia" w:eastAsia="仿宋_GB2312"/>
          <w:color w:val="auto"/>
          <w:sz w:val="32"/>
          <w:szCs w:val="32"/>
          <w:lang w:val="en-US" w:eastAsia="zh-CN"/>
        </w:rPr>
        <w:t>48.8</w:t>
      </w:r>
      <w:r>
        <w:rPr>
          <w:rFonts w:eastAsia="仿宋_GB2312"/>
          <w:color w:val="auto"/>
          <w:sz w:val="32"/>
          <w:szCs w:val="32"/>
        </w:rPr>
        <w:t>%，主要是</w:t>
      </w:r>
      <w:r>
        <w:rPr>
          <w:rFonts w:hint="eastAsia" w:eastAsia="仿宋_GB2312"/>
          <w:color w:val="auto"/>
          <w:sz w:val="32"/>
          <w:szCs w:val="32"/>
          <w:lang w:eastAsia="zh-CN"/>
        </w:rPr>
        <w:t>我单位厉行节约，严控三公经费支出</w:t>
      </w:r>
      <w:r>
        <w:rPr>
          <w:rFonts w:eastAsia="仿宋_GB2312"/>
          <w:color w:val="auto"/>
          <w:sz w:val="32"/>
          <w:szCs w:val="32"/>
        </w:rPr>
        <w:t>。</w:t>
      </w:r>
    </w:p>
    <w:p>
      <w:pPr>
        <w:widowControl/>
        <w:numPr>
          <w:ilvl w:val="0"/>
          <w:numId w:val="3"/>
        </w:numPr>
        <w:spacing w:line="520" w:lineRule="exact"/>
        <w:ind w:firstLine="643" w:firstLineChars="200"/>
        <w:jc w:val="left"/>
        <w:rPr>
          <w:rFonts w:eastAsia="仿宋_GB2312"/>
          <w:sz w:val="32"/>
          <w:szCs w:val="32"/>
        </w:rPr>
      </w:pPr>
      <w:r>
        <w:rPr>
          <w:rFonts w:eastAsia="楷体_GB2312"/>
          <w:b/>
          <w:bCs/>
          <w:sz w:val="32"/>
          <w:szCs w:val="32"/>
        </w:rPr>
        <w:t>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无增减变化</w:t>
      </w:r>
      <w:r>
        <w:rPr>
          <w:rFonts w:eastAsia="仿宋_GB2312"/>
          <w:sz w:val="32"/>
          <w:szCs w:val="32"/>
        </w:rPr>
        <w:t>。</w:t>
      </w:r>
    </w:p>
    <w:p>
      <w:pPr>
        <w:widowControl/>
        <w:numPr>
          <w:ilvl w:val="0"/>
          <w:numId w:val="0"/>
        </w:numPr>
        <w:spacing w:line="520" w:lineRule="exact"/>
        <w:ind w:firstLine="643" w:firstLineChars="200"/>
        <w:jc w:val="left"/>
        <w:rPr>
          <w:rFonts w:hint="eastAsia" w:ascii="黑体" w:hAnsi="黑体" w:eastAsia="黑体" w:cs="黑体"/>
          <w:b/>
          <w:sz w:val="32"/>
          <w:szCs w:val="32"/>
        </w:rPr>
      </w:pPr>
      <w:r>
        <w:rPr>
          <w:rFonts w:hint="eastAsia" w:ascii="黑体" w:hAnsi="黑体" w:eastAsia="黑体" w:cs="黑体"/>
          <w:b/>
          <w:sz w:val="32"/>
          <w:szCs w:val="32"/>
          <w:lang w:eastAsia="zh-CN"/>
        </w:rPr>
        <w:t>六、</w:t>
      </w:r>
      <w:r>
        <w:rPr>
          <w:rFonts w:hint="eastAsia" w:ascii="黑体" w:eastAsia="黑体"/>
          <w:sz w:val="32"/>
          <w:szCs w:val="40"/>
        </w:rPr>
        <w:t>预算绩效情况说明</w:t>
      </w:r>
    </w:p>
    <w:p>
      <w:pPr>
        <w:autoSpaceDE w:val="0"/>
        <w:autoSpaceDN w:val="0"/>
        <w:snapToGrid w:val="0"/>
        <w:spacing w:line="560" w:lineRule="exact"/>
        <w:ind w:firstLine="640" w:firstLineChars="200"/>
        <w:rPr>
          <w:rFonts w:ascii="仿宋_GB2312" w:hAnsi="仿宋_GB2312" w:eastAsia="仿宋_GB2312" w:cs="仿宋_GB2312"/>
          <w:b w:val="0"/>
          <w:bCs w:val="0"/>
          <w:color w:val="000000"/>
          <w:kern w:val="0"/>
          <w:sz w:val="32"/>
          <w:szCs w:val="32"/>
          <w:shd w:val="clear" w:color="auto" w:fill="FFFFFF"/>
        </w:rPr>
      </w:pPr>
      <w:r>
        <w:rPr>
          <w:rFonts w:hint="eastAsia" w:ascii="仿宋_GB2312" w:hAnsi="仿宋_GB2312" w:eastAsia="仿宋_GB2312" w:cs="仿宋_GB2312"/>
          <w:b w:val="0"/>
          <w:bCs w:val="0"/>
          <w:color w:val="000000"/>
          <w:kern w:val="0"/>
          <w:sz w:val="32"/>
          <w:szCs w:val="32"/>
          <w:shd w:val="clear" w:color="auto" w:fill="FFFFFF"/>
        </w:rPr>
        <w:t>1、预算绩效管理工作开展情况</w:t>
      </w:r>
    </w:p>
    <w:p>
      <w:pPr>
        <w:autoSpaceDE w:val="0"/>
        <w:autoSpaceDN w:val="0"/>
        <w:adjustRightInd w:val="0"/>
        <w:spacing w:line="52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强力抓好规划宣传，认真学习宣传贯彻《城乡规划法》，加大《霸州市城市总体规划》批后宣传力度，开展规划宣传进社区、进学校、进企业、进乡村、进家庭的“五进”活动，提升全民规划意识。倾力抓好规划编制，按照调整城市结构、优化城市布局、完善城市功能、塑造城市文化、提升城市品位的思路，循序渐进、遵循民意地抓好各项规划编制；并积极搞好规划前瞻性课题研究，增强规划的科学性。坚持以改革促发展，以创新求突破，开辟重点工业项目和民生工程项目审批“绿色通道”，实施规划精细化管理，积极为企业发展提供优质、高效服务。为增强规划刚性权威，确保规划严格实施。完善规划公开公示制，实现公开审批依据、公开审批流程等“六公开六公示”。努力打造规划亮点，提高规划工作水平；采取抓样板、树典型的方法，激励广大干部职工的工作积极性和责任感。通过内培外育，提高队伍素质，认真强化规划管理，确保规划工作步入规范高效运转的轨道，开创我市城乡规划事业新局面。</w:t>
      </w:r>
    </w:p>
    <w:p>
      <w:pPr>
        <w:widowControl/>
        <w:spacing w:line="520" w:lineRule="exact"/>
        <w:ind w:firstLine="640" w:firstLineChars="200"/>
        <w:jc w:val="left"/>
        <w:rPr>
          <w:rFonts w:ascii="仿宋" w:hAnsi="仿宋" w:eastAsia="仿宋" w:cs="仿宋_GB2312"/>
          <w:kern w:val="0"/>
          <w:sz w:val="32"/>
          <w:szCs w:val="32"/>
        </w:rPr>
      </w:pPr>
    </w:p>
    <w:p>
      <w:pPr>
        <w:numPr>
          <w:ilvl w:val="0"/>
          <w:numId w:val="0"/>
        </w:numPr>
        <w:spacing w:line="580" w:lineRule="atLeast"/>
        <w:ind w:firstLine="320" w:firstLineChars="100"/>
        <w:rPr>
          <w:rFonts w:hint="eastAsia" w:ascii="仿宋_GB2312" w:eastAsia="仿宋_GB2312" w:cs="DengXian-Regular"/>
          <w:sz w:val="32"/>
          <w:szCs w:val="32"/>
        </w:rPr>
      </w:pP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绩效自评结果。</w:t>
      </w:r>
    </w:p>
    <w:p>
      <w:pPr>
        <w:numPr>
          <w:ilvl w:val="0"/>
          <w:numId w:val="0"/>
        </w:num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按照新预算法要求，我部门将项目绩效评价工作融入到整个项目执行过程中，牢固树立“讲绩效、重绩效、用绩效”的绩效评价管理理念，以绩效为向导，积极构建预算编制有目标、预算执行有监控、预算完成有评价、预算结果有应用的全过程预算绩效管理体制。</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lang w:eastAsia="zh-CN"/>
        </w:rPr>
        <w:t>重点项目绩效评价结果</w:t>
      </w:r>
    </w:p>
    <w:p>
      <w:pPr>
        <w:ind w:firstLine="640" w:firstLineChars="200"/>
        <w:rPr>
          <w:rFonts w:ascii="仿宋" w:hAnsi="仿宋" w:eastAsia="仿宋"/>
          <w:sz w:val="32"/>
          <w:szCs w:val="32"/>
        </w:rPr>
      </w:pPr>
      <w:r>
        <w:rPr>
          <w:rFonts w:hint="eastAsia" w:ascii="仿宋" w:hAnsi="仿宋" w:eastAsia="仿宋"/>
          <w:sz w:val="32"/>
          <w:szCs w:val="32"/>
        </w:rPr>
        <w:t>在市委、市政府的正确领导下，我们以完善基础设施为重点，围绕中心工作，积极进取，扎实工作，促进了城乡规划、城乡管理等各项工作的健康发展。2018年主要围绕对城乡规划、城乡规划制定、监督与实施等进行开展绩效评价工作，各项工作绩效评价成绩良好。成效：被评价项目总体绩效目标明确，决策依据充分，资金分配科学合理，项目管理较规范，项目完成良好，基本达到了预期效果。</w:t>
      </w:r>
    </w:p>
    <w:p>
      <w:pPr>
        <w:pStyle w:val="2"/>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widowControl/>
        <w:spacing w:line="520" w:lineRule="exact"/>
        <w:ind w:firstLine="640" w:firstLineChars="200"/>
        <w:jc w:val="left"/>
        <w:rPr>
          <w:rFonts w:hint="eastAsia" w:ascii="仿宋" w:hAnsi="仿宋" w:eastAsia="仿宋"/>
          <w:color w:val="0000FF"/>
          <w:sz w:val="32"/>
          <w:szCs w:val="32"/>
        </w:rPr>
      </w:pPr>
    </w:p>
    <w:p>
      <w:pPr>
        <w:pStyle w:val="3"/>
        <w:spacing w:before="0" w:after="0" w:line="580" w:lineRule="exact"/>
        <w:ind w:firstLine="643" w:firstLineChars="200"/>
        <w:rPr>
          <w:rFonts w:ascii="楷体_GB2312" w:eastAsia="楷体_GB2312" w:cs="DengXian-Bold"/>
          <w:color w:val="auto"/>
        </w:rPr>
      </w:pPr>
      <w:r>
        <w:rPr>
          <w:rFonts w:hint="eastAsia" w:ascii="楷体_GB2312" w:eastAsia="楷体_GB2312" w:cs="DengXian-Bold"/>
          <w:color w:val="auto"/>
        </w:rPr>
        <w:t>（一）机关运行经费情况</w:t>
      </w:r>
    </w:p>
    <w:p>
      <w:pPr>
        <w:adjustRightInd w:val="0"/>
        <w:snapToGrid w:val="0"/>
        <w:spacing w:after="0" w:line="580" w:lineRule="exact"/>
        <w:ind w:firstLine="640" w:firstLineChars="200"/>
        <w:rPr>
          <w:rFonts w:ascii="仿宋_GB2312" w:eastAsia="仿宋_GB2312" w:cs="DengXian-Regular"/>
          <w:color w:val="auto"/>
          <w:sz w:val="32"/>
          <w:szCs w:val="32"/>
        </w:rPr>
      </w:pPr>
      <w:r>
        <w:rPr>
          <w:rFonts w:hint="eastAsia" w:ascii="仿宋_GB2312" w:eastAsia="仿宋_GB2312" w:cs="DengXian-Regular"/>
          <w:color w:val="auto"/>
          <w:sz w:val="32"/>
          <w:szCs w:val="32"/>
        </w:rPr>
        <w:t>本部门2018年度机关运行经费支出</w:t>
      </w:r>
      <w:r>
        <w:rPr>
          <w:rFonts w:hint="eastAsia" w:ascii="仿宋_GB2312" w:eastAsia="仿宋_GB2312" w:cs="DengXian-Regular"/>
          <w:color w:val="auto"/>
          <w:sz w:val="32"/>
          <w:szCs w:val="32"/>
          <w:lang w:val="en-US" w:eastAsia="zh-CN"/>
        </w:rPr>
        <w:t>70.05</w:t>
      </w:r>
      <w:r>
        <w:rPr>
          <w:rFonts w:hint="eastAsia" w:ascii="仿宋_GB2312" w:eastAsia="仿宋_GB2312" w:cs="DengXian-Regular"/>
          <w:color w:val="auto"/>
          <w:sz w:val="32"/>
          <w:szCs w:val="32"/>
        </w:rPr>
        <w:t>万元，比年初预算数增加</w:t>
      </w:r>
      <w:r>
        <w:rPr>
          <w:rFonts w:hint="eastAsia" w:ascii="仿宋_GB2312" w:eastAsia="仿宋_GB2312" w:cs="DengXian-Regular"/>
          <w:color w:val="auto"/>
          <w:sz w:val="32"/>
          <w:szCs w:val="32"/>
          <w:lang w:val="en-US" w:eastAsia="zh-CN"/>
        </w:rPr>
        <w:t>9.75</w:t>
      </w:r>
      <w:r>
        <w:rPr>
          <w:rFonts w:hint="eastAsia" w:ascii="仿宋_GB2312" w:eastAsia="仿宋_GB2312" w:cs="DengXian-Regular"/>
          <w:color w:val="auto"/>
          <w:sz w:val="32"/>
          <w:szCs w:val="32"/>
        </w:rPr>
        <w:t>万元，增长</w:t>
      </w:r>
      <w:r>
        <w:rPr>
          <w:rFonts w:hint="eastAsia" w:ascii="仿宋_GB2312" w:eastAsia="仿宋_GB2312" w:cs="DengXian-Regular"/>
          <w:color w:val="auto"/>
          <w:sz w:val="32"/>
          <w:szCs w:val="32"/>
          <w:lang w:val="en-US" w:eastAsia="zh-CN"/>
        </w:rPr>
        <w:t>16.17</w:t>
      </w:r>
      <w:r>
        <w:rPr>
          <w:rFonts w:hint="eastAsia" w:ascii="仿宋_GB2312" w:eastAsia="仿宋_GB2312" w:cs="DengXian-Regular"/>
          <w:color w:val="auto"/>
          <w:sz w:val="32"/>
          <w:szCs w:val="32"/>
        </w:rPr>
        <w:t xml:space="preserve"> </w:t>
      </w:r>
      <w:r>
        <w:rPr>
          <w:rFonts w:eastAsia="仿宋_GB2312"/>
          <w:color w:val="auto"/>
          <w:sz w:val="32"/>
          <w:szCs w:val="32"/>
        </w:rPr>
        <w:t>%</w:t>
      </w:r>
      <w:r>
        <w:rPr>
          <w:rFonts w:hint="eastAsia" w:ascii="仿宋_GB2312" w:eastAsia="仿宋_GB2312" w:cs="DengXian-Regular"/>
          <w:color w:val="auto"/>
          <w:sz w:val="32"/>
          <w:szCs w:val="32"/>
        </w:rPr>
        <w:t>。主要是</w:t>
      </w:r>
      <w:r>
        <w:rPr>
          <w:rFonts w:hint="eastAsia" w:ascii="仿宋_GB2312" w:eastAsia="仿宋_GB2312" w:cs="DengXian-Regular"/>
          <w:color w:val="auto"/>
          <w:sz w:val="32"/>
          <w:szCs w:val="32"/>
          <w:lang w:eastAsia="zh-CN"/>
        </w:rPr>
        <w:t>其他商品和服务支出增加</w:t>
      </w:r>
      <w:r>
        <w:rPr>
          <w:rFonts w:hint="eastAsia" w:ascii="仿宋_GB2312" w:eastAsia="仿宋_GB2312" w:cs="DengXian-Regular"/>
          <w:color w:val="auto"/>
          <w:sz w:val="32"/>
          <w:szCs w:val="32"/>
        </w:rPr>
        <w:t>。</w:t>
      </w:r>
      <w:r>
        <w:rPr>
          <w:rFonts w:eastAsia="仿宋_GB2312"/>
          <w:color w:val="auto"/>
          <w:sz w:val="32"/>
          <w:szCs w:val="32"/>
        </w:rPr>
        <w:t>较201</w:t>
      </w:r>
      <w:r>
        <w:rPr>
          <w:rFonts w:hint="eastAsia" w:eastAsia="仿宋_GB2312"/>
          <w:color w:val="auto"/>
          <w:sz w:val="32"/>
          <w:szCs w:val="32"/>
        </w:rPr>
        <w:t>7</w:t>
      </w:r>
      <w:r>
        <w:rPr>
          <w:rFonts w:eastAsia="仿宋_GB2312"/>
          <w:color w:val="auto"/>
          <w:sz w:val="32"/>
          <w:szCs w:val="32"/>
        </w:rPr>
        <w:t>年度决算</w:t>
      </w:r>
      <w:r>
        <w:rPr>
          <w:rFonts w:hint="eastAsia" w:eastAsia="仿宋_GB2312"/>
          <w:color w:val="auto"/>
          <w:sz w:val="32"/>
          <w:szCs w:val="32"/>
          <w:lang w:eastAsia="zh-CN"/>
        </w:rPr>
        <w:t>增加</w:t>
      </w:r>
      <w:r>
        <w:rPr>
          <w:rFonts w:hint="eastAsia" w:eastAsia="仿宋_GB2312"/>
          <w:color w:val="auto"/>
          <w:sz w:val="32"/>
          <w:szCs w:val="32"/>
          <w:lang w:val="en-US" w:eastAsia="zh-CN"/>
        </w:rPr>
        <w:t>26.52</w:t>
      </w:r>
      <w:r>
        <w:rPr>
          <w:rFonts w:eastAsia="仿宋_GB2312"/>
          <w:color w:val="auto"/>
          <w:sz w:val="32"/>
          <w:szCs w:val="32"/>
        </w:rPr>
        <w:t>万元，</w:t>
      </w:r>
      <w:r>
        <w:rPr>
          <w:rFonts w:hint="eastAsia" w:eastAsia="仿宋_GB2312"/>
          <w:color w:val="auto"/>
          <w:sz w:val="32"/>
          <w:szCs w:val="32"/>
          <w:lang w:eastAsia="zh-CN"/>
        </w:rPr>
        <w:t>增长</w:t>
      </w:r>
      <w:r>
        <w:rPr>
          <w:rFonts w:hint="eastAsia" w:eastAsia="仿宋_GB2312"/>
          <w:color w:val="auto"/>
          <w:sz w:val="32"/>
          <w:szCs w:val="32"/>
          <w:lang w:val="en-US" w:eastAsia="zh-CN"/>
        </w:rPr>
        <w:t>60.92</w:t>
      </w:r>
      <w:r>
        <w:rPr>
          <w:rFonts w:eastAsia="仿宋_GB2312"/>
          <w:color w:val="auto"/>
          <w:sz w:val="32"/>
          <w:szCs w:val="32"/>
        </w:rPr>
        <w:t>%，主要是</w:t>
      </w:r>
      <w:r>
        <w:rPr>
          <w:rFonts w:hint="eastAsia" w:ascii="仿宋_GB2312" w:eastAsia="仿宋_GB2312" w:cs="DengXian-Regular"/>
          <w:color w:val="auto"/>
          <w:sz w:val="32"/>
          <w:szCs w:val="32"/>
          <w:lang w:eastAsia="zh-CN"/>
        </w:rPr>
        <w:t>其他商品和服务支出增加</w:t>
      </w:r>
      <w:r>
        <w:rPr>
          <w:rFonts w:eastAsia="仿宋_GB2312"/>
          <w:color w:val="auto"/>
          <w:sz w:val="32"/>
          <w:szCs w:val="32"/>
        </w:rPr>
        <w:t>。</w:t>
      </w:r>
    </w:p>
    <w:p>
      <w:pPr>
        <w:widowControl/>
        <w:spacing w:line="520" w:lineRule="exact"/>
        <w:ind w:firstLine="640" w:firstLineChars="200"/>
        <w:jc w:val="left"/>
        <w:rPr>
          <w:rFonts w:hint="eastAsia" w:ascii="仿宋" w:hAnsi="仿宋" w:eastAsia="仿宋"/>
          <w:sz w:val="32"/>
          <w:szCs w:val="32"/>
        </w:rPr>
      </w:pPr>
    </w:p>
    <w:p>
      <w:pPr>
        <w:pStyle w:val="3"/>
        <w:spacing w:before="0" w:after="0" w:line="580" w:lineRule="exact"/>
        <w:ind w:firstLine="643" w:firstLineChars="200"/>
        <w:rPr>
          <w:rFonts w:ascii="楷体_GB2312" w:eastAsia="楷体_GB2312" w:cs="DengXian-Bold"/>
          <w:color w:val="auto"/>
        </w:rPr>
      </w:pPr>
      <w:r>
        <w:rPr>
          <w:rFonts w:hint="eastAsia" w:ascii="楷体_GB2312" w:eastAsia="楷体_GB2312" w:cs="DengXian-Bold"/>
          <w:color w:val="auto"/>
        </w:rPr>
        <w:t>（二）政府采购情况</w:t>
      </w:r>
    </w:p>
    <w:p>
      <w:pPr>
        <w:spacing w:line="520" w:lineRule="exact"/>
        <w:ind w:firstLine="640" w:firstLineChars="200"/>
        <w:rPr>
          <w:rFonts w:ascii="仿宋_GB2312" w:hAnsi="仿宋_GB2312" w:eastAsia="仿宋_GB2312" w:cs="仿宋_GB2312"/>
          <w:color w:val="auto"/>
          <w:kern w:val="0"/>
          <w:sz w:val="32"/>
          <w:szCs w:val="32"/>
        </w:rPr>
      </w:pPr>
      <w:r>
        <w:rPr>
          <w:rFonts w:hint="eastAsia" w:ascii="仿宋_GB2312" w:eastAsia="仿宋_GB2312" w:cs="DengXian-Regular"/>
          <w:color w:val="auto"/>
          <w:sz w:val="32"/>
          <w:szCs w:val="32"/>
        </w:rPr>
        <w:t>本部门2018年</w:t>
      </w:r>
      <w:bookmarkStart w:id="0" w:name="_GoBack"/>
      <w:bookmarkEnd w:id="0"/>
      <w:r>
        <w:rPr>
          <w:rFonts w:hint="eastAsia" w:ascii="仿宋_GB2312" w:eastAsia="仿宋_GB2312" w:cs="DengXian-Regular"/>
          <w:color w:val="auto"/>
          <w:sz w:val="32"/>
          <w:szCs w:val="32"/>
        </w:rPr>
        <w:t>度政府采购支出总额</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万元，从采购类型来看，</w:t>
      </w:r>
      <w:r>
        <w:rPr>
          <w:rFonts w:ascii="仿宋_GB2312" w:hAnsi="仿宋_GB2312" w:eastAsia="仿宋_GB2312" w:cs="仿宋_GB2312"/>
          <w:color w:val="auto"/>
          <w:kern w:val="0"/>
          <w:sz w:val="32"/>
          <w:szCs w:val="32"/>
        </w:rPr>
        <w:t>政府采购货物支出</w:t>
      </w:r>
      <w:r>
        <w:rPr>
          <w:rFonts w:hint="eastAsia" w:ascii="仿宋_GB2312" w:hAnsi="仿宋_GB2312" w:eastAsia="仿宋_GB2312" w:cs="仿宋_GB2312"/>
          <w:color w:val="auto"/>
          <w:kern w:val="0"/>
          <w:sz w:val="32"/>
          <w:szCs w:val="32"/>
          <w:lang w:val="en-US" w:eastAsia="zh-CN"/>
        </w:rPr>
        <w:t>0</w:t>
      </w:r>
      <w:r>
        <w:rPr>
          <w:rFonts w:ascii="仿宋_GB2312" w:hAnsi="仿宋_GB2312" w:eastAsia="仿宋_GB2312" w:cs="仿宋_GB2312"/>
          <w:color w:val="auto"/>
          <w:kern w:val="0"/>
          <w:sz w:val="32"/>
          <w:szCs w:val="32"/>
        </w:rPr>
        <w:t>万元、政府采购工程支出</w:t>
      </w:r>
      <w:r>
        <w:rPr>
          <w:rFonts w:hint="eastAsia" w:ascii="仿宋_GB2312" w:hAnsi="仿宋_GB2312" w:eastAsia="仿宋_GB2312" w:cs="仿宋_GB2312"/>
          <w:color w:val="auto"/>
          <w:kern w:val="0"/>
          <w:sz w:val="32"/>
          <w:szCs w:val="32"/>
          <w:lang w:val="en-US" w:eastAsia="zh-CN"/>
        </w:rPr>
        <w:t>0</w:t>
      </w:r>
      <w:r>
        <w:rPr>
          <w:rFonts w:ascii="仿宋_GB2312" w:hAnsi="仿宋_GB2312" w:eastAsia="仿宋_GB2312" w:cs="仿宋_GB2312"/>
          <w:color w:val="auto"/>
          <w:kern w:val="0"/>
          <w:sz w:val="32"/>
          <w:szCs w:val="32"/>
        </w:rPr>
        <w:t xml:space="preserve">万元、政府采购服务支出 </w:t>
      </w:r>
      <w:r>
        <w:rPr>
          <w:rFonts w:hint="eastAsia" w:ascii="仿宋_GB2312" w:hAnsi="仿宋_GB2312" w:eastAsia="仿宋_GB2312" w:cs="仿宋_GB2312"/>
          <w:color w:val="auto"/>
          <w:kern w:val="0"/>
          <w:sz w:val="32"/>
          <w:szCs w:val="32"/>
          <w:lang w:val="en-US" w:eastAsia="zh-CN"/>
        </w:rPr>
        <w:t>0</w:t>
      </w:r>
      <w:r>
        <w:rPr>
          <w:rFonts w:ascii="仿宋_GB2312" w:hAnsi="仿宋_GB2312" w:eastAsia="仿宋_GB2312" w:cs="仿宋_GB2312"/>
          <w:color w:val="auto"/>
          <w:kern w:val="0"/>
          <w:sz w:val="32"/>
          <w:szCs w:val="32"/>
        </w:rPr>
        <w:t>万元。授予中小企业合同金</w:t>
      </w:r>
      <w:r>
        <w:rPr>
          <w:rFonts w:hint="eastAsia" w:ascii="仿宋_GB2312" w:hAnsi="仿宋_GB2312" w:eastAsia="仿宋_GB2312" w:cs="仿宋_GB2312"/>
          <w:color w:val="auto"/>
          <w:kern w:val="0"/>
          <w:sz w:val="32"/>
          <w:szCs w:val="32"/>
          <w:lang w:val="en-US" w:eastAsia="zh-CN"/>
        </w:rPr>
        <w:t>0</w:t>
      </w:r>
      <w:r>
        <w:rPr>
          <w:rFonts w:ascii="仿宋_GB2312" w:hAnsi="仿宋_GB2312" w:eastAsia="仿宋_GB2312" w:cs="仿宋_GB2312"/>
          <w:color w:val="auto"/>
          <w:kern w:val="0"/>
          <w:sz w:val="32"/>
          <w:szCs w:val="32"/>
        </w:rPr>
        <w:t>万元，占政府采购支出总额的</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其中授予小微企业合同金额</w:t>
      </w:r>
      <w:r>
        <w:rPr>
          <w:rFonts w:hint="eastAsia" w:ascii="仿宋_GB2312" w:hAnsi="仿宋_GB2312" w:eastAsia="仿宋_GB2312" w:cs="仿宋_GB2312"/>
          <w:color w:val="auto"/>
          <w:kern w:val="0"/>
          <w:sz w:val="32"/>
          <w:szCs w:val="32"/>
          <w:lang w:val="en-US" w:eastAsia="zh-CN"/>
        </w:rPr>
        <w:t>0</w:t>
      </w:r>
      <w:r>
        <w:rPr>
          <w:rFonts w:ascii="仿宋_GB2312" w:hAnsi="仿宋_GB2312" w:eastAsia="仿宋_GB2312" w:cs="仿宋_GB2312"/>
          <w:color w:val="auto"/>
          <w:kern w:val="0"/>
          <w:sz w:val="32"/>
          <w:szCs w:val="32"/>
        </w:rPr>
        <w:t xml:space="preserve">万元，占政府采购支出总额的 </w:t>
      </w:r>
      <w:r>
        <w:rPr>
          <w:rFonts w:hint="eastAsia" w:ascii="仿宋_GB2312" w:hAnsi="仿宋_GB2312" w:eastAsia="仿宋_GB2312" w:cs="仿宋_GB2312"/>
          <w:color w:val="auto"/>
          <w:kern w:val="0"/>
          <w:sz w:val="32"/>
          <w:szCs w:val="32"/>
          <w:lang w:val="en-US" w:eastAsia="zh-CN"/>
        </w:rPr>
        <w:t>0</w:t>
      </w:r>
      <w:r>
        <w:rPr>
          <w:rFonts w:ascii="仿宋_GB2312" w:hAnsi="仿宋_GB2312" w:eastAsia="仿宋_GB2312" w:cs="仿宋_GB2312"/>
          <w:color w:val="auto"/>
          <w:kern w:val="0"/>
          <w:sz w:val="32"/>
          <w:szCs w:val="32"/>
        </w:rPr>
        <w:t>%。</w:t>
      </w:r>
    </w:p>
    <w:p>
      <w:pPr>
        <w:pStyle w:val="3"/>
        <w:spacing w:before="0" w:after="0" w:line="580" w:lineRule="exact"/>
        <w:ind w:firstLine="643" w:firstLineChars="200"/>
        <w:rPr>
          <w:rFonts w:ascii="楷体_GB2312" w:eastAsia="楷体_GB2312" w:cs="DengXian-Bold"/>
          <w:color w:val="auto"/>
        </w:rPr>
      </w:pPr>
      <w:r>
        <w:rPr>
          <w:rFonts w:hint="eastAsia" w:ascii="楷体_GB2312" w:eastAsia="楷体_GB2312" w:cs="DengXian-Bold"/>
          <w:color w:val="auto"/>
        </w:rPr>
        <w:t>（三）国有资产占用情况</w:t>
      </w:r>
    </w:p>
    <w:p>
      <w:pPr>
        <w:adjustRightInd w:val="0"/>
        <w:snapToGrid w:val="0"/>
        <w:spacing w:after="0" w:line="580" w:lineRule="exact"/>
        <w:ind w:firstLine="640" w:firstLineChars="200"/>
        <w:rPr>
          <w:rFonts w:hint="eastAsia" w:ascii="仿宋_GB2312" w:eastAsia="仿宋_GB2312" w:cs="DengXian-Regular"/>
          <w:color w:val="auto"/>
          <w:sz w:val="32"/>
          <w:szCs w:val="32"/>
          <w:lang w:eastAsia="zh-CN"/>
        </w:rPr>
      </w:pPr>
      <w:r>
        <w:rPr>
          <w:rFonts w:hint="eastAsia" w:ascii="仿宋_GB2312" w:eastAsia="仿宋_GB2312" w:cs="DengXian-Regular"/>
          <w:color w:val="auto"/>
          <w:sz w:val="32"/>
          <w:szCs w:val="32"/>
        </w:rPr>
        <w:t>截至2018年12月31日，本部门共有车辆</w:t>
      </w:r>
      <w:r>
        <w:rPr>
          <w:rFonts w:hint="eastAsia" w:ascii="仿宋_GB2312" w:eastAsia="仿宋_GB2312" w:cs="DengXian-Regular"/>
          <w:color w:val="auto"/>
          <w:sz w:val="32"/>
          <w:szCs w:val="32"/>
          <w:lang w:val="en-US" w:eastAsia="zh-CN"/>
        </w:rPr>
        <w:t>1</w:t>
      </w:r>
      <w:r>
        <w:rPr>
          <w:rFonts w:hint="eastAsia" w:ascii="仿宋_GB2312" w:eastAsia="仿宋_GB2312" w:cs="DengXian-Regular"/>
          <w:color w:val="auto"/>
          <w:sz w:val="32"/>
          <w:szCs w:val="32"/>
        </w:rPr>
        <w:t>辆，比上年增加</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辆，</w:t>
      </w:r>
      <w:r>
        <w:rPr>
          <w:rFonts w:hint="eastAsia" w:ascii="仿宋_GB2312" w:eastAsia="仿宋_GB2312" w:cs="DengXian-Regular"/>
          <w:color w:val="auto"/>
          <w:sz w:val="32"/>
          <w:szCs w:val="32"/>
          <w:lang w:eastAsia="zh-CN"/>
        </w:rPr>
        <w:t>无增减变化</w:t>
      </w:r>
      <w:r>
        <w:rPr>
          <w:rFonts w:hint="eastAsia" w:ascii="仿宋_GB2312" w:eastAsia="仿宋_GB2312" w:cs="DengXian-Regular"/>
          <w:color w:val="auto"/>
          <w:sz w:val="32"/>
          <w:szCs w:val="32"/>
        </w:rPr>
        <w:t>。其中，副部（省）级及以上领导用车</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辆，主要领导干部用车</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辆，机要通信用车</w:t>
      </w:r>
      <w:r>
        <w:rPr>
          <w:rFonts w:hint="eastAsia" w:ascii="仿宋_GB2312" w:eastAsia="仿宋_GB2312" w:cs="DengXian-Regular"/>
          <w:color w:val="auto"/>
          <w:sz w:val="32"/>
          <w:szCs w:val="32"/>
          <w:lang w:val="en-US" w:eastAsia="zh-CN"/>
        </w:rPr>
        <w:t>1</w:t>
      </w:r>
      <w:r>
        <w:rPr>
          <w:rFonts w:hint="eastAsia" w:ascii="仿宋_GB2312" w:eastAsia="仿宋_GB2312" w:cs="DengXian-Regular"/>
          <w:color w:val="auto"/>
          <w:sz w:val="32"/>
          <w:szCs w:val="32"/>
        </w:rPr>
        <w:t>辆，应急保障用车</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辆，执法执勤用车</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辆，特种专业技术用车</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辆，离退休干部用车</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辆，其他用车</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辆；单位价值</w:t>
      </w:r>
      <w:r>
        <w:rPr>
          <w:rFonts w:hint="eastAsia" w:ascii="仿宋_GB2312" w:hAnsi="TimesNewRomanPSMT" w:eastAsia="仿宋_GB2312" w:cs="TimesNewRomanPSMT"/>
          <w:color w:val="auto"/>
          <w:sz w:val="32"/>
          <w:szCs w:val="32"/>
        </w:rPr>
        <w:t>50</w:t>
      </w:r>
      <w:r>
        <w:rPr>
          <w:rFonts w:hint="eastAsia" w:ascii="仿宋_GB2312" w:eastAsia="仿宋_GB2312" w:cs="DengXian-Regular"/>
          <w:color w:val="auto"/>
          <w:sz w:val="32"/>
          <w:szCs w:val="32"/>
        </w:rPr>
        <w:t>万元以上通用设备</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台（套），比上年增加</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套</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 xml:space="preserve"> ，</w:t>
      </w:r>
      <w:r>
        <w:rPr>
          <w:rFonts w:hint="eastAsia" w:ascii="仿宋_GB2312" w:eastAsia="仿宋_GB2312" w:cs="DengXian-Regular"/>
          <w:color w:val="auto"/>
          <w:sz w:val="32"/>
          <w:szCs w:val="32"/>
          <w:lang w:eastAsia="zh-CN"/>
        </w:rPr>
        <w:t>与上年无增减变动，</w:t>
      </w:r>
      <w:r>
        <w:rPr>
          <w:rFonts w:hint="eastAsia" w:ascii="仿宋_GB2312" w:eastAsia="仿宋_GB2312" w:cs="DengXian-Regular"/>
          <w:color w:val="auto"/>
          <w:sz w:val="32"/>
          <w:szCs w:val="32"/>
        </w:rPr>
        <w:t>单位价值</w:t>
      </w:r>
      <w:r>
        <w:rPr>
          <w:rFonts w:hint="eastAsia" w:ascii="仿宋_GB2312" w:hAnsi="TimesNewRomanPSMT" w:eastAsia="仿宋_GB2312" w:cs="TimesNewRomanPSMT"/>
          <w:color w:val="auto"/>
          <w:sz w:val="32"/>
          <w:szCs w:val="32"/>
        </w:rPr>
        <w:t>100</w:t>
      </w:r>
      <w:r>
        <w:rPr>
          <w:rFonts w:hint="eastAsia" w:ascii="仿宋_GB2312" w:eastAsia="仿宋_GB2312" w:cs="DengXian-Regular"/>
          <w:color w:val="auto"/>
          <w:sz w:val="32"/>
          <w:szCs w:val="32"/>
        </w:rPr>
        <w:t>万元以上专用设备</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台（套）比上年增加</w:t>
      </w:r>
      <w:r>
        <w:rPr>
          <w:rFonts w:hint="eastAsia" w:ascii="仿宋_GB2312" w:eastAsia="仿宋_GB2312" w:cs="DengXian-Regular"/>
          <w:color w:val="auto"/>
          <w:sz w:val="32"/>
          <w:szCs w:val="32"/>
          <w:lang w:val="en-US" w:eastAsia="zh-CN"/>
        </w:rPr>
        <w:t>0</w:t>
      </w:r>
      <w:r>
        <w:rPr>
          <w:rFonts w:hint="eastAsia" w:ascii="仿宋_GB2312" w:eastAsia="仿宋_GB2312" w:cs="DengXian-Regular"/>
          <w:color w:val="auto"/>
          <w:sz w:val="32"/>
          <w:szCs w:val="32"/>
        </w:rPr>
        <w:t>套</w:t>
      </w:r>
      <w:r>
        <w:rPr>
          <w:rFonts w:hint="eastAsia" w:ascii="仿宋_GB2312" w:eastAsia="仿宋_GB2312" w:cs="DengXian-Regular"/>
          <w:color w:val="auto"/>
          <w:sz w:val="32"/>
          <w:szCs w:val="32"/>
          <w:lang w:eastAsia="zh-CN"/>
        </w:rPr>
        <w:t>，与上年无增减变动。</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utoSpaceDE w:val="0"/>
        <w:autoSpaceDN w:val="0"/>
        <w:adjustRightInd w:val="0"/>
        <w:spacing w:line="520" w:lineRule="exact"/>
        <w:ind w:firstLine="800" w:firstLineChars="250"/>
        <w:jc w:val="left"/>
        <w:rPr>
          <w:rFonts w:hint="eastAsia" w:ascii="仿宋_GB2312" w:eastAsia="仿宋_GB2312" w:cs="DengXian-Regular"/>
          <w:sz w:val="32"/>
          <w:szCs w:val="32"/>
        </w:rPr>
      </w:pP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autoSpaceDE w:val="0"/>
        <w:autoSpaceDN w:val="0"/>
        <w:adjustRightInd w:val="0"/>
        <w:spacing w:line="520" w:lineRule="exact"/>
        <w:ind w:firstLine="800" w:firstLineChars="250"/>
        <w:jc w:val="left"/>
        <w:rPr>
          <w:rFonts w:eastAsia="黑体"/>
          <w:sz w:val="32"/>
          <w:szCs w:val="32"/>
        </w:rPr>
      </w:pPr>
      <w:r>
        <w:rPr>
          <w:rFonts w:hint="eastAsia" w:eastAsia="黑体"/>
          <w:sz w:val="32"/>
          <w:szCs w:val="32"/>
        </w:rPr>
        <w:t>四、</w:t>
      </w:r>
      <w:r>
        <w:rPr>
          <w:rFonts w:eastAsia="黑体"/>
          <w:sz w:val="32"/>
          <w:szCs w:val="32"/>
        </w:rPr>
        <w:t>名词解释</w:t>
      </w:r>
    </w:p>
    <w:p>
      <w:pPr>
        <w:autoSpaceDE w:val="0"/>
        <w:autoSpaceDN w:val="0"/>
        <w:snapToGrid w:val="0"/>
        <w:spacing w:line="520" w:lineRule="exact"/>
        <w:ind w:left="640" w:leftChars="30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（一）财政拨款收入：本年度从本级财政部门取得的财政拨款，包括一般公共预算财政拨款和政府性基金预算财政拨款。</w:t>
      </w:r>
    </w:p>
    <w:p>
      <w:pPr>
        <w:autoSpaceDE w:val="0"/>
        <w:autoSpaceDN w:val="0"/>
        <w:snapToGrid w:val="0"/>
        <w:spacing w:line="520" w:lineRule="exact"/>
        <w:ind w:firstLine="64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（二）事业收入：指事业单位开展专业业务活动及辅助活动所取得的收入。</w:t>
      </w:r>
    </w:p>
    <w:p>
      <w:pPr>
        <w:autoSpaceDE w:val="0"/>
        <w:autoSpaceDN w:val="0"/>
        <w:snapToGrid w:val="0"/>
        <w:spacing w:line="520" w:lineRule="exact"/>
        <w:ind w:left="640" w:leftChars="30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（三）其他收入：指除上述“财政拨款收入”、“事业收入”、“经营收入”等以外的收入。</w:t>
      </w:r>
    </w:p>
    <w:p>
      <w:pPr>
        <w:autoSpaceDE w:val="0"/>
        <w:autoSpaceDN w:val="0"/>
        <w:snapToGrid w:val="0"/>
        <w:spacing w:line="520" w:lineRule="exact"/>
        <w:ind w:left="638" w:leftChars="304" w:firstLine="3"/>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snapToGrid w:val="0"/>
        <w:spacing w:line="520" w:lineRule="exact"/>
        <w:ind w:left="638" w:leftChars="304" w:firstLine="3"/>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（五）年初结转和结余：指以前年度尚未完成、结转到本年仍按原规定用途继续使用的资金，或项目已完成等产生的结余资金。</w:t>
      </w:r>
    </w:p>
    <w:p>
      <w:pPr>
        <w:autoSpaceDE w:val="0"/>
        <w:autoSpaceDN w:val="0"/>
        <w:snapToGrid w:val="0"/>
        <w:spacing w:line="520" w:lineRule="exact"/>
        <w:ind w:left="638" w:leftChars="304" w:firstLine="3"/>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（六）结余分配：指事业单位按照事业单位会计制度的规定从非财政补助结余中分配的事业基金和职工福利基金等。</w:t>
      </w:r>
    </w:p>
    <w:p>
      <w:pPr>
        <w:autoSpaceDE w:val="0"/>
        <w:autoSpaceDN w:val="0"/>
        <w:snapToGrid w:val="0"/>
        <w:spacing w:line="520" w:lineRule="exact"/>
        <w:ind w:left="638" w:leftChars="304" w:firstLine="3"/>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（七）年末结转和结余：指单位按有关规定结转到下年或以后年度继续使用的资金，或项目已完成等产生的结余资金。</w:t>
      </w:r>
    </w:p>
    <w:p>
      <w:pPr>
        <w:autoSpaceDE w:val="0"/>
        <w:autoSpaceDN w:val="0"/>
        <w:snapToGrid w:val="0"/>
        <w:spacing w:line="520" w:lineRule="exact"/>
        <w:ind w:firstLine="64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（八）基本支出：填列单位为保障机构正常运转、完成日常工作任务而发生的各项支出。</w:t>
      </w:r>
    </w:p>
    <w:p>
      <w:pPr>
        <w:autoSpaceDE w:val="0"/>
        <w:autoSpaceDN w:val="0"/>
        <w:snapToGrid w:val="0"/>
        <w:spacing w:line="520" w:lineRule="exact"/>
        <w:ind w:left="638" w:leftChars="304" w:firstLine="3"/>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（九）项目支出：填列单位为完成特定的行政工作任务或事业发展目标，在基本支出之外发生的各项支出。</w:t>
      </w:r>
    </w:p>
    <w:p>
      <w:pPr>
        <w:autoSpaceDE w:val="0"/>
        <w:autoSpaceDN w:val="0"/>
        <w:snapToGrid w:val="0"/>
        <w:spacing w:line="520" w:lineRule="exact"/>
        <w:ind w:left="638" w:leftChars="304" w:firstLine="3"/>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autoSpaceDE w:val="0"/>
        <w:autoSpaceDN w:val="0"/>
        <w:snapToGrid w:val="0"/>
        <w:spacing w:line="520" w:lineRule="exact"/>
        <w:ind w:left="638" w:leftChars="304" w:firstLine="3"/>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（十一）其他资本性支出：填列由各级非发展与改革部门集中安排的用于购置固定资产、战备性和应急性储备、土地和无形资产，以及购建基础设施、大型修缮和财政支持企业更新改造所发生的支出。</w:t>
      </w:r>
    </w:p>
    <w:p>
      <w:pPr>
        <w:autoSpaceDE w:val="0"/>
        <w:autoSpaceDN w:val="0"/>
        <w:snapToGrid w:val="0"/>
        <w:spacing w:line="520" w:lineRule="exact"/>
        <w:ind w:left="638" w:leftChars="304" w:firstLine="3"/>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autoSpaceDE w:val="0"/>
        <w:autoSpaceDN w:val="0"/>
        <w:snapToGrid w:val="0"/>
        <w:spacing w:line="520" w:lineRule="exact"/>
        <w:ind w:left="638" w:leftChars="304" w:firstLine="3"/>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（十三）其他交通费用：填列单位除公务用车运行维护费以外的其他交通费用。如飞机、船舶等的燃料费、维修费、过桥过路费、保险费、出租车费用、公务交通补贴等。</w:t>
      </w:r>
    </w:p>
    <w:p>
      <w:pPr>
        <w:autoSpaceDE w:val="0"/>
        <w:autoSpaceDN w:val="0"/>
        <w:snapToGrid w:val="0"/>
        <w:spacing w:line="520" w:lineRule="exact"/>
        <w:ind w:firstLine="645"/>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（十四）公务用车购置：填列单位公务用车车辆购置支出（含车辆购置税）。</w:t>
      </w:r>
    </w:p>
    <w:p>
      <w:pPr>
        <w:autoSpaceDE w:val="0"/>
        <w:autoSpaceDN w:val="0"/>
        <w:snapToGrid w:val="0"/>
        <w:spacing w:line="520" w:lineRule="exact"/>
        <w:ind w:left="638" w:leftChars="304" w:firstLine="3"/>
        <w:rPr>
          <w:rFonts w:ascii="仿宋" w:hAnsi="仿宋" w:eastAsia="仿宋" w:cs="仿宋_GB2312"/>
          <w:color w:val="333333"/>
          <w:kern w:val="0"/>
          <w:sz w:val="32"/>
          <w:szCs w:val="32"/>
          <w:shd w:val="clear" w:color="auto" w:fill="FFFFFF"/>
        </w:rPr>
      </w:pPr>
      <w:r>
        <w:rPr>
          <w:rFonts w:hint="eastAsia" w:ascii="仿宋" w:hAnsi="仿宋" w:eastAsia="仿宋" w:cs="仿宋_GB2312"/>
          <w:color w:val="333333"/>
          <w:kern w:val="0"/>
          <w:sz w:val="32"/>
          <w:szCs w:val="32"/>
          <w:shd w:val="clear" w:color="auto" w:fill="FFFFFF"/>
        </w:rPr>
        <w:t>（十五）其他交通工具购置：填列单位除公务用车外的其他各类交通工具（如船舶、飞机）购置支出（含车辆购置税）。</w:t>
      </w:r>
    </w:p>
    <w:p>
      <w:pPr>
        <w:autoSpaceDE w:val="0"/>
        <w:autoSpaceDN w:val="0"/>
        <w:snapToGrid w:val="0"/>
        <w:spacing w:line="520" w:lineRule="exact"/>
        <w:ind w:left="638" w:leftChars="304" w:firstLine="3"/>
        <w:rPr>
          <w:rFonts w:ascii="仿宋" w:hAnsi="仿宋" w:eastAsia="仿宋"/>
          <w:color w:val="3E3E3E"/>
        </w:rPr>
      </w:pPr>
      <w:r>
        <w:rPr>
          <w:rFonts w:hint="eastAsia" w:ascii="仿宋" w:hAnsi="仿宋" w:eastAsia="仿宋" w:cs="仿宋_GB2312"/>
          <w:color w:val="333333"/>
          <w:kern w:val="0"/>
          <w:sz w:val="32"/>
          <w:szCs w:val="32"/>
          <w:shd w:val="clear" w:color="auto" w:fill="FFFFFF"/>
        </w:rPr>
        <w:t>（十六）</w:t>
      </w:r>
      <w:r>
        <w:rPr>
          <w:rFonts w:ascii="仿宋" w:hAnsi="仿宋" w:eastAsia="仿宋" w:cs="仿宋_GB2312"/>
          <w:color w:val="333333"/>
          <w:kern w:val="0"/>
          <w:sz w:val="32"/>
          <w:szCs w:val="32"/>
          <w:shd w:val="clear" w:color="auto" w:fill="FFFFFF"/>
        </w:rPr>
        <w:t xml:space="preserve"> </w:t>
      </w:r>
      <w:r>
        <w:rPr>
          <w:rFonts w:hint="eastAsia" w:ascii="仿宋" w:hAnsi="仿宋" w:eastAsia="仿宋" w:cs="仿宋_GB2312"/>
          <w:color w:val="333333"/>
          <w:kern w:val="0"/>
          <w:sz w:val="32"/>
          <w:szCs w:val="32"/>
          <w:shd w:val="clear" w:color="auto" w:fill="FFFFFF"/>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sectPr>
      <w:headerReference r:id="rId3" w:type="default"/>
      <w:footerReference r:id="rId4" w:type="default"/>
      <w:pgSz w:w="11906" w:h="16838"/>
      <w:pgMar w:top="2155"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方正书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MS-UIGothic,Bold">
    <w:altName w:val="Malgun Gothic"/>
    <w:panose1 w:val="00000000000000000000"/>
    <w:charset w:val="81"/>
    <w:family w:val="auto"/>
    <w:pitch w:val="default"/>
    <w:sig w:usb0="00000000" w:usb1="00000000" w:usb2="00000010" w:usb3="00000000" w:csb0="00080000" w:csb1="00000000"/>
  </w:font>
  <w:font w:name="楷体_GB2312">
    <w:panose1 w:val="02010609030101010101"/>
    <w:charset w:val="86"/>
    <w:family w:val="modern"/>
    <w:pitch w:val="default"/>
    <w:sig w:usb0="00000000" w:usb1="00000000" w:usb2="00000000" w:usb3="00000000" w:csb0="00000000" w:csb1="00000000"/>
  </w:font>
  <w:font w:name="DengXian-Bold">
    <w:altName w:val="宋体"/>
    <w:panose1 w:val="00000000000000000000"/>
    <w:charset w:val="86"/>
    <w:family w:val="auto"/>
    <w:pitch w:val="default"/>
    <w:sig w:usb0="00000000" w:usb1="00000000" w:usb2="00000010" w:usb3="00000000" w:csb0="00040001" w:csb1="00000000"/>
  </w:font>
  <w:font w:name="DengXian-Regular">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7F4684"/>
    <w:multiLevelType w:val="singleLevel"/>
    <w:tmpl w:val="CE7F4684"/>
    <w:lvl w:ilvl="0" w:tentative="0">
      <w:start w:val="1"/>
      <w:numFmt w:val="chineseCounting"/>
      <w:suff w:val="nothing"/>
      <w:lvlText w:val="%1、"/>
      <w:lvlJc w:val="left"/>
      <w:pPr>
        <w:ind w:left="-10"/>
      </w:pPr>
      <w:rPr>
        <w:rFonts w:hint="eastAsia"/>
      </w:rPr>
    </w:lvl>
  </w:abstractNum>
  <w:abstractNum w:abstractNumId="1">
    <w:nsid w:val="CF036D0E"/>
    <w:multiLevelType w:val="singleLevel"/>
    <w:tmpl w:val="CF036D0E"/>
    <w:lvl w:ilvl="0" w:tentative="0">
      <w:start w:val="3"/>
      <w:numFmt w:val="chineseCounting"/>
      <w:suff w:val="nothing"/>
      <w:lvlText w:val="（%1）"/>
      <w:lvlJc w:val="left"/>
      <w:rPr>
        <w:rFonts w:hint="eastAsia"/>
      </w:rPr>
    </w:lvl>
  </w:abstractNum>
  <w:abstractNum w:abstractNumId="2">
    <w:nsid w:val="75014731"/>
    <w:multiLevelType w:val="singleLevel"/>
    <w:tmpl w:val="75014731"/>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7107"/>
    <w:rsid w:val="000167C8"/>
    <w:rsid w:val="000D645A"/>
    <w:rsid w:val="00274709"/>
    <w:rsid w:val="002D52A1"/>
    <w:rsid w:val="00317DF2"/>
    <w:rsid w:val="004D3B5F"/>
    <w:rsid w:val="004F11C8"/>
    <w:rsid w:val="00566718"/>
    <w:rsid w:val="00574F21"/>
    <w:rsid w:val="00576DB6"/>
    <w:rsid w:val="005935A1"/>
    <w:rsid w:val="00685DB7"/>
    <w:rsid w:val="00720ECE"/>
    <w:rsid w:val="00745D60"/>
    <w:rsid w:val="00787107"/>
    <w:rsid w:val="008169E4"/>
    <w:rsid w:val="008203FB"/>
    <w:rsid w:val="008949EE"/>
    <w:rsid w:val="00913BBF"/>
    <w:rsid w:val="00915B1D"/>
    <w:rsid w:val="00960FAD"/>
    <w:rsid w:val="0097092E"/>
    <w:rsid w:val="00A03237"/>
    <w:rsid w:val="00AD779C"/>
    <w:rsid w:val="00B42746"/>
    <w:rsid w:val="00B75926"/>
    <w:rsid w:val="00C25356"/>
    <w:rsid w:val="00C9434C"/>
    <w:rsid w:val="00CA2B43"/>
    <w:rsid w:val="00D11669"/>
    <w:rsid w:val="00D121D2"/>
    <w:rsid w:val="00D154CF"/>
    <w:rsid w:val="00D41111"/>
    <w:rsid w:val="00D42812"/>
    <w:rsid w:val="00D95BF4"/>
    <w:rsid w:val="00DE19D8"/>
    <w:rsid w:val="00E569AF"/>
    <w:rsid w:val="00E6005A"/>
    <w:rsid w:val="00EB50F3"/>
    <w:rsid w:val="00ED3E3F"/>
    <w:rsid w:val="00ED7ADD"/>
    <w:rsid w:val="00F7390D"/>
    <w:rsid w:val="00F814DD"/>
    <w:rsid w:val="03884B71"/>
    <w:rsid w:val="11CC0B22"/>
    <w:rsid w:val="13627F58"/>
    <w:rsid w:val="13756DDD"/>
    <w:rsid w:val="14C22094"/>
    <w:rsid w:val="184D7D31"/>
    <w:rsid w:val="1A340312"/>
    <w:rsid w:val="2B70369D"/>
    <w:rsid w:val="2C837930"/>
    <w:rsid w:val="33855BD3"/>
    <w:rsid w:val="3D9050FE"/>
    <w:rsid w:val="3EAE7DE4"/>
    <w:rsid w:val="403643E6"/>
    <w:rsid w:val="41C3127D"/>
    <w:rsid w:val="44553750"/>
    <w:rsid w:val="470902AD"/>
    <w:rsid w:val="4A852383"/>
    <w:rsid w:val="4B30056E"/>
    <w:rsid w:val="5E2245B0"/>
    <w:rsid w:val="7057783C"/>
    <w:rsid w:val="72742396"/>
    <w:rsid w:val="74FB516C"/>
    <w:rsid w:val="7C1B37F2"/>
    <w:rsid w:val="7C692FB9"/>
    <w:rsid w:val="7F272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qFormat/>
    <w:uiPriority w:val="0"/>
    <w:pPr>
      <w:tabs>
        <w:tab w:val="center" w:pos="4153"/>
        <w:tab w:val="right" w:pos="8306"/>
      </w:tabs>
      <w:snapToGrid w:val="0"/>
      <w:jc w:val="left"/>
    </w:pPr>
    <w:rPr>
      <w:rFonts w:ascii="Calibri" w:hAnsi="Calibri"/>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8">
    <w:name w:val="页眉 Char"/>
    <w:basedOn w:val="7"/>
    <w:link w:val="5"/>
    <w:qFormat/>
    <w:uiPriority w:val="0"/>
    <w:rPr>
      <w:rFonts w:ascii="Calibri" w:hAnsi="Calibri" w:eastAsia="宋体" w:cs="Times New Roman"/>
      <w:sz w:val="18"/>
      <w:szCs w:val="18"/>
    </w:rPr>
  </w:style>
  <w:style w:type="character" w:customStyle="1" w:styleId="9">
    <w:name w:val="页脚 Char"/>
    <w:basedOn w:val="7"/>
    <w:link w:val="4"/>
    <w:qFormat/>
    <w:uiPriority w:val="0"/>
    <w:rPr>
      <w:rFonts w:ascii="Calibri" w:hAnsi="Calibri" w:eastAsia="宋体" w:cs="Times New Roman"/>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9.emf"/><Relationship Id="rId22" Type="http://schemas.openxmlformats.org/officeDocument/2006/relationships/oleObject" Target="embeddings/oleObject9.bin"/><Relationship Id="rId21" Type="http://schemas.openxmlformats.org/officeDocument/2006/relationships/image" Target="media/image8.e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689</Words>
  <Characters>3932</Characters>
  <Lines>32</Lines>
  <Paragraphs>9</Paragraphs>
  <TotalTime>10</TotalTime>
  <ScaleCrop>false</ScaleCrop>
  <LinksUpToDate>false</LinksUpToDate>
  <CharactersWithSpaces>4612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2017-11-02T02:16:00Z</dcterms:created>
  <dc:creator>微软用户</dc:creator>
  <cp:lastModifiedBy>爱笑的女子</cp:lastModifiedBy>
  <cp:lastPrinted>2021-05-26T07:25:00Z</cp:lastPrinted>
  <dcterms:modified xsi:type="dcterms:W3CDTF">2021-05-27T01:30:31Z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DDB27E90193B4F5D9C1847ABBE230346</vt:lpwstr>
  </property>
</Properties>
</file>